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6CEE" w14:textId="77777777" w:rsidR="00590E0B" w:rsidRDefault="00590E0B">
      <w:pPr>
        <w:rPr>
          <w:rFonts w:ascii="Arial" w:hAnsi="Arial"/>
          <w:b/>
        </w:rPr>
      </w:pPr>
    </w:p>
    <w:p w14:paraId="0C83B5F9" w14:textId="77777777" w:rsidR="00590E0B" w:rsidRDefault="00590E0B">
      <w:pPr>
        <w:rPr>
          <w:rFonts w:ascii="Arial" w:hAnsi="Arial"/>
          <w:b/>
        </w:rPr>
      </w:pPr>
    </w:p>
    <w:p w14:paraId="065BB988" w14:textId="77777777" w:rsidR="00590E0B" w:rsidRDefault="00590E0B">
      <w:pPr>
        <w:rPr>
          <w:rFonts w:ascii="Arial" w:hAnsi="Arial"/>
          <w:b/>
        </w:rPr>
      </w:pPr>
    </w:p>
    <w:p w14:paraId="4D1C66B2" w14:textId="77777777" w:rsidR="00590E0B" w:rsidRDefault="00590E0B" w:rsidP="00590E0B">
      <w:pPr>
        <w:rPr>
          <w:rFonts w:ascii="Calibri" w:hAnsi="Calibri" w:cs="Calibri"/>
          <w:b/>
          <w:color w:val="000004"/>
        </w:rPr>
      </w:pPr>
      <w:r>
        <w:rPr>
          <w:rFonts w:ascii="Calibri" w:hAnsi="Calibri" w:cs="Calibri"/>
          <w:b/>
          <w:color w:val="000004"/>
        </w:rPr>
        <w:tab/>
      </w:r>
      <w:r>
        <w:rPr>
          <w:rFonts w:ascii="Calibri" w:hAnsi="Calibri" w:cs="Calibri"/>
          <w:b/>
          <w:color w:val="000004"/>
        </w:rPr>
        <w:tab/>
      </w:r>
    </w:p>
    <w:tbl>
      <w:tblPr>
        <w:tblStyle w:val="TableGrid"/>
        <w:tblW w:w="0" w:type="auto"/>
        <w:tblInd w:w="0" w:type="dxa"/>
        <w:tblLook w:val="04A0" w:firstRow="1" w:lastRow="0" w:firstColumn="1" w:lastColumn="0" w:noHBand="0" w:noVBand="1"/>
      </w:tblPr>
      <w:tblGrid>
        <w:gridCol w:w="1799"/>
        <w:gridCol w:w="7551"/>
      </w:tblGrid>
      <w:tr w:rsidR="00590E0B" w14:paraId="5D9E3B3A" w14:textId="77777777" w:rsidTr="00590E0B">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559C9ACC" w14:textId="77777777" w:rsidR="00590E0B" w:rsidRDefault="00590E0B">
            <w:pPr>
              <w:rPr>
                <w:rFonts w:ascii="Calibri" w:hAnsi="Calibri" w:cs="Calibri"/>
                <w:b/>
                <w:color w:val="000004"/>
                <w:sz w:val="24"/>
                <w:szCs w:val="24"/>
              </w:rPr>
            </w:pPr>
            <w:r>
              <w:rPr>
                <w:rFonts w:ascii="Calibri" w:hAnsi="Calibri" w:cs="Calibri"/>
                <w:b/>
                <w:color w:val="000004"/>
                <w:sz w:val="24"/>
                <w:szCs w:val="24"/>
              </w:rPr>
              <w:t>College</w:t>
            </w:r>
          </w:p>
          <w:p w14:paraId="73EB5FAB" w14:textId="77777777" w:rsidR="00590E0B" w:rsidRDefault="00590E0B">
            <w:pPr>
              <w:rPr>
                <w:rFonts w:ascii="Calibri" w:hAnsi="Calibri" w:cs="Calibri"/>
                <w:b/>
                <w:color w:val="000004"/>
                <w:sz w:val="24"/>
                <w:szCs w:val="24"/>
              </w:rPr>
            </w:pPr>
          </w:p>
        </w:tc>
        <w:tc>
          <w:tcPr>
            <w:tcW w:w="7758" w:type="dxa"/>
            <w:tcBorders>
              <w:top w:val="single" w:sz="4" w:space="0" w:color="auto"/>
              <w:left w:val="single" w:sz="4" w:space="0" w:color="auto"/>
              <w:bottom w:val="single" w:sz="4" w:space="0" w:color="auto"/>
              <w:right w:val="single" w:sz="4" w:space="0" w:color="auto"/>
            </w:tcBorders>
          </w:tcPr>
          <w:p w14:paraId="27C221FA" w14:textId="4CB69B48" w:rsidR="00590E0B" w:rsidRPr="00260F79" w:rsidRDefault="00590E0B">
            <w:pPr>
              <w:rPr>
                <w:rFonts w:ascii="Calibri" w:hAnsi="Calibri" w:cs="Calibri"/>
                <w:color w:val="000004"/>
                <w:sz w:val="24"/>
                <w:szCs w:val="24"/>
              </w:rPr>
            </w:pPr>
            <w:r w:rsidRPr="00260F79">
              <w:rPr>
                <w:rFonts w:ascii="Calibri" w:hAnsi="Calibri" w:cs="Calibri"/>
                <w:color w:val="000004"/>
                <w:sz w:val="24"/>
                <w:szCs w:val="24"/>
              </w:rPr>
              <w:t>School for the Future of Innovation in Society</w:t>
            </w:r>
          </w:p>
        </w:tc>
      </w:tr>
      <w:tr w:rsidR="00590E0B" w14:paraId="42E1C00C" w14:textId="77777777" w:rsidTr="00590E0B">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1A52FDE2" w14:textId="77777777" w:rsidR="00590E0B" w:rsidRDefault="00590E0B">
            <w:pPr>
              <w:rPr>
                <w:rFonts w:ascii="Calibri" w:hAnsi="Calibri" w:cs="Calibri"/>
                <w:b/>
                <w:color w:val="000004"/>
                <w:sz w:val="24"/>
                <w:szCs w:val="24"/>
              </w:rPr>
            </w:pPr>
            <w:r>
              <w:rPr>
                <w:rFonts w:ascii="Calibri" w:hAnsi="Calibri" w:cs="Calibri"/>
                <w:b/>
                <w:color w:val="000004"/>
                <w:sz w:val="24"/>
                <w:szCs w:val="24"/>
              </w:rPr>
              <w:t>Unit</w:t>
            </w:r>
          </w:p>
          <w:p w14:paraId="7CE28A75" w14:textId="77777777" w:rsidR="00590E0B" w:rsidRDefault="00590E0B">
            <w:pPr>
              <w:rPr>
                <w:rFonts w:ascii="Calibri" w:hAnsi="Calibri" w:cs="Calibri"/>
                <w:b/>
                <w:color w:val="000004"/>
                <w:sz w:val="24"/>
                <w:szCs w:val="24"/>
              </w:rPr>
            </w:pPr>
          </w:p>
        </w:tc>
        <w:tc>
          <w:tcPr>
            <w:tcW w:w="7758" w:type="dxa"/>
            <w:tcBorders>
              <w:top w:val="single" w:sz="4" w:space="0" w:color="auto"/>
              <w:left w:val="single" w:sz="4" w:space="0" w:color="auto"/>
              <w:bottom w:val="single" w:sz="4" w:space="0" w:color="auto"/>
              <w:right w:val="single" w:sz="4" w:space="0" w:color="auto"/>
            </w:tcBorders>
          </w:tcPr>
          <w:p w14:paraId="19E6B606" w14:textId="77777777" w:rsidR="00590E0B" w:rsidRDefault="00590E0B">
            <w:pPr>
              <w:rPr>
                <w:rFonts w:ascii="Calibri" w:hAnsi="Calibri" w:cs="Calibri"/>
                <w:b/>
                <w:color w:val="000004"/>
                <w:sz w:val="24"/>
                <w:szCs w:val="24"/>
              </w:rPr>
            </w:pPr>
            <w:bookmarkStart w:id="0" w:name="_GoBack"/>
            <w:bookmarkEnd w:id="0"/>
          </w:p>
        </w:tc>
      </w:tr>
      <w:tr w:rsidR="00590E0B" w14:paraId="7ADE102E" w14:textId="77777777" w:rsidTr="00590E0B">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69916B37" w14:textId="77777777" w:rsidR="00590E0B" w:rsidRDefault="00590E0B">
            <w:pPr>
              <w:rPr>
                <w:rFonts w:ascii="Calibri" w:hAnsi="Calibri" w:cs="Calibri"/>
                <w:b/>
                <w:color w:val="000004"/>
                <w:sz w:val="24"/>
                <w:szCs w:val="24"/>
              </w:rPr>
            </w:pPr>
            <w:r>
              <w:rPr>
                <w:rFonts w:ascii="Calibri" w:hAnsi="Calibri" w:cs="Calibri"/>
                <w:b/>
                <w:color w:val="000004"/>
                <w:sz w:val="24"/>
                <w:szCs w:val="24"/>
              </w:rPr>
              <w:t>Document</w:t>
            </w:r>
          </w:p>
          <w:p w14:paraId="0ACB1B8A" w14:textId="77777777" w:rsidR="00590E0B" w:rsidRDefault="00590E0B">
            <w:pPr>
              <w:rPr>
                <w:rFonts w:ascii="Calibri" w:hAnsi="Calibri" w:cs="Calibri"/>
                <w:b/>
                <w:color w:val="000004"/>
                <w:sz w:val="24"/>
                <w:szCs w:val="24"/>
              </w:rPr>
            </w:pPr>
          </w:p>
        </w:tc>
        <w:tc>
          <w:tcPr>
            <w:tcW w:w="7758" w:type="dxa"/>
            <w:tcBorders>
              <w:top w:val="single" w:sz="4" w:space="0" w:color="auto"/>
              <w:left w:val="single" w:sz="4" w:space="0" w:color="auto"/>
              <w:bottom w:val="single" w:sz="4" w:space="0" w:color="auto"/>
              <w:right w:val="single" w:sz="4" w:space="0" w:color="auto"/>
            </w:tcBorders>
          </w:tcPr>
          <w:p w14:paraId="2CEC2898" w14:textId="1D537205" w:rsidR="00590E0B" w:rsidRPr="00260F79" w:rsidRDefault="00590E0B">
            <w:pPr>
              <w:rPr>
                <w:rFonts w:ascii="Calibri" w:hAnsi="Calibri" w:cs="Calibri"/>
                <w:color w:val="000004"/>
                <w:sz w:val="24"/>
                <w:szCs w:val="24"/>
              </w:rPr>
            </w:pPr>
            <w:r w:rsidRPr="00260F79">
              <w:rPr>
                <w:rFonts w:ascii="Calibri" w:hAnsi="Calibri" w:cs="Calibri"/>
                <w:color w:val="000004"/>
                <w:sz w:val="24"/>
                <w:szCs w:val="24"/>
              </w:rPr>
              <w:t>Policy for Faculty Annual Performance Review and Evaluation</w:t>
            </w:r>
          </w:p>
        </w:tc>
      </w:tr>
    </w:tbl>
    <w:p w14:paraId="341FA10F" w14:textId="77777777" w:rsidR="00590E0B" w:rsidRDefault="00590E0B" w:rsidP="00590E0B">
      <w:pPr>
        <w:rPr>
          <w:rFonts w:ascii="Calibri" w:hAnsi="Calibri" w:cstheme="minorHAnsi"/>
          <w:color w:val="000004"/>
        </w:rPr>
      </w:pPr>
    </w:p>
    <w:p w14:paraId="3C72891A" w14:textId="77777777" w:rsidR="00590E0B" w:rsidRDefault="00590E0B" w:rsidP="00590E0B">
      <w:pPr>
        <w:rPr>
          <w:rFonts w:ascii="Calibri" w:hAnsi="Calibri" w:cstheme="minorHAnsi"/>
          <w:b/>
          <w:color w:val="000004"/>
        </w:rPr>
      </w:pPr>
      <w:r>
        <w:rPr>
          <w:rFonts w:ascii="Calibri" w:hAnsi="Calibri" w:cstheme="minorHAnsi"/>
          <w:b/>
          <w:color w:val="000004"/>
        </w:rPr>
        <w:t>Unit and college approval</w:t>
      </w:r>
    </w:p>
    <w:tbl>
      <w:tblPr>
        <w:tblStyle w:val="TableGrid"/>
        <w:tblW w:w="0" w:type="auto"/>
        <w:tblInd w:w="0" w:type="dxa"/>
        <w:tblLook w:val="04A0" w:firstRow="1" w:lastRow="0" w:firstColumn="1" w:lastColumn="0" w:noHBand="0" w:noVBand="1"/>
      </w:tblPr>
      <w:tblGrid>
        <w:gridCol w:w="3458"/>
        <w:gridCol w:w="5892"/>
      </w:tblGrid>
      <w:tr w:rsidR="00590E0B" w14:paraId="1C5AD75C" w14:textId="77777777" w:rsidTr="00590E0B">
        <w:trPr>
          <w:trHeight w:hRule="exact" w:val="720"/>
        </w:trPr>
        <w:tc>
          <w:tcPr>
            <w:tcW w:w="3528" w:type="dxa"/>
            <w:tcBorders>
              <w:top w:val="single" w:sz="4" w:space="0" w:color="auto"/>
              <w:left w:val="single" w:sz="4" w:space="0" w:color="auto"/>
              <w:bottom w:val="single" w:sz="4" w:space="0" w:color="auto"/>
              <w:right w:val="single" w:sz="4" w:space="0" w:color="auto"/>
            </w:tcBorders>
            <w:hideMark/>
          </w:tcPr>
          <w:p w14:paraId="11027D52" w14:textId="77777777" w:rsidR="00590E0B" w:rsidRDefault="00590E0B">
            <w:pPr>
              <w:rPr>
                <w:rFonts w:ascii="Calibri" w:hAnsi="Calibri" w:cs="Calibri"/>
                <w:b/>
                <w:color w:val="000004"/>
                <w:sz w:val="24"/>
                <w:szCs w:val="24"/>
              </w:rPr>
            </w:pPr>
            <w:r>
              <w:rPr>
                <w:rFonts w:ascii="Calibri" w:hAnsi="Calibri" w:cs="Calibri"/>
                <w:b/>
                <w:color w:val="000004"/>
                <w:sz w:val="24"/>
                <w:szCs w:val="24"/>
              </w:rPr>
              <w:t>Date of approval by the faculty</w:t>
            </w:r>
          </w:p>
        </w:tc>
        <w:tc>
          <w:tcPr>
            <w:tcW w:w="6030" w:type="dxa"/>
            <w:tcBorders>
              <w:top w:val="single" w:sz="4" w:space="0" w:color="auto"/>
              <w:left w:val="nil"/>
              <w:bottom w:val="single" w:sz="4" w:space="0" w:color="auto"/>
              <w:right w:val="single" w:sz="4" w:space="0" w:color="auto"/>
            </w:tcBorders>
          </w:tcPr>
          <w:p w14:paraId="278E6238" w14:textId="3B87DC39" w:rsidR="00590E0B" w:rsidRPr="00260F79" w:rsidRDefault="00590E0B">
            <w:pPr>
              <w:rPr>
                <w:rFonts w:ascii="Calibri" w:hAnsi="Calibri" w:cs="Calibri"/>
                <w:color w:val="000004"/>
                <w:sz w:val="24"/>
                <w:szCs w:val="24"/>
              </w:rPr>
            </w:pPr>
            <w:r w:rsidRPr="00260F79">
              <w:rPr>
                <w:rFonts w:ascii="Calibri" w:hAnsi="Calibri" w:cs="Calibri"/>
                <w:color w:val="000004"/>
                <w:sz w:val="24"/>
                <w:szCs w:val="24"/>
              </w:rPr>
              <w:t>Monday November 18, 2019</w:t>
            </w:r>
          </w:p>
        </w:tc>
      </w:tr>
      <w:tr w:rsidR="00590E0B" w14:paraId="1B4DBA4A" w14:textId="77777777" w:rsidTr="00590E0B">
        <w:trPr>
          <w:trHeight w:hRule="exact" w:val="720"/>
        </w:trPr>
        <w:tc>
          <w:tcPr>
            <w:tcW w:w="3528" w:type="dxa"/>
            <w:tcBorders>
              <w:top w:val="single" w:sz="4" w:space="0" w:color="auto"/>
              <w:left w:val="single" w:sz="4" w:space="0" w:color="auto"/>
              <w:bottom w:val="single" w:sz="4" w:space="0" w:color="auto"/>
              <w:right w:val="single" w:sz="4" w:space="0" w:color="auto"/>
            </w:tcBorders>
            <w:hideMark/>
          </w:tcPr>
          <w:p w14:paraId="6404B62B" w14:textId="77777777" w:rsidR="00590E0B" w:rsidRDefault="00590E0B">
            <w:pPr>
              <w:rPr>
                <w:rFonts w:ascii="Calibri" w:hAnsi="Calibri" w:cs="Calibri"/>
                <w:b/>
                <w:color w:val="000004"/>
                <w:sz w:val="24"/>
                <w:szCs w:val="24"/>
              </w:rPr>
            </w:pPr>
            <w:r>
              <w:rPr>
                <w:rFonts w:ascii="Calibri" w:hAnsi="Calibri" w:cs="Calibri"/>
                <w:b/>
                <w:color w:val="000004"/>
                <w:sz w:val="24"/>
                <w:szCs w:val="24"/>
              </w:rPr>
              <w:t>Date of review by the dean</w:t>
            </w:r>
          </w:p>
        </w:tc>
        <w:tc>
          <w:tcPr>
            <w:tcW w:w="6030" w:type="dxa"/>
            <w:tcBorders>
              <w:top w:val="single" w:sz="4" w:space="0" w:color="auto"/>
              <w:left w:val="nil"/>
              <w:bottom w:val="single" w:sz="4" w:space="0" w:color="auto"/>
              <w:right w:val="single" w:sz="4" w:space="0" w:color="auto"/>
            </w:tcBorders>
          </w:tcPr>
          <w:p w14:paraId="23CD6FFB" w14:textId="4F2AF3E9" w:rsidR="00590E0B" w:rsidRPr="00260F79" w:rsidRDefault="00590E0B">
            <w:pPr>
              <w:rPr>
                <w:rFonts w:ascii="Calibri" w:hAnsi="Calibri" w:cs="Calibri"/>
                <w:color w:val="000004"/>
                <w:sz w:val="24"/>
                <w:szCs w:val="24"/>
              </w:rPr>
            </w:pPr>
            <w:r w:rsidRPr="00260F79">
              <w:rPr>
                <w:rFonts w:ascii="Calibri" w:hAnsi="Calibri" w:cs="Calibri"/>
                <w:color w:val="000004"/>
                <w:sz w:val="24"/>
                <w:szCs w:val="24"/>
              </w:rPr>
              <w:t>Monday November 18, 2019</w:t>
            </w:r>
          </w:p>
        </w:tc>
      </w:tr>
    </w:tbl>
    <w:p w14:paraId="0FF07503" w14:textId="77777777" w:rsidR="00590E0B" w:rsidRDefault="00590E0B" w:rsidP="00590E0B">
      <w:pPr>
        <w:rPr>
          <w:rFonts w:ascii="Calibri" w:hAnsi="Calibri" w:cstheme="minorHAnsi"/>
          <w:color w:val="000004"/>
        </w:rPr>
      </w:pPr>
    </w:p>
    <w:p w14:paraId="16C5BC8C" w14:textId="77777777" w:rsidR="00590E0B" w:rsidRDefault="00590E0B" w:rsidP="00590E0B">
      <w:pPr>
        <w:rPr>
          <w:rFonts w:ascii="Calibri" w:hAnsi="Calibri" w:cs="Calibri"/>
          <w:b/>
          <w:color w:val="000004"/>
        </w:rPr>
      </w:pPr>
    </w:p>
    <w:p w14:paraId="3ADF1323" w14:textId="77777777" w:rsidR="00590E0B" w:rsidRDefault="00590E0B" w:rsidP="00590E0B">
      <w:pPr>
        <w:rPr>
          <w:rFonts w:asciiTheme="minorHAnsi" w:hAnsiTheme="minorHAnsi" w:cstheme="minorHAnsi"/>
          <w:b/>
          <w:color w:val="000004"/>
        </w:rPr>
      </w:pPr>
      <w:r>
        <w:rPr>
          <w:rFonts w:cstheme="minorHAnsi"/>
          <w:b/>
          <w:color w:val="000004"/>
        </w:rPr>
        <w:t>Provost office approval</w:t>
      </w:r>
    </w:p>
    <w:tbl>
      <w:tblPr>
        <w:tblStyle w:val="TableGrid"/>
        <w:tblW w:w="0" w:type="auto"/>
        <w:tblInd w:w="0" w:type="dxa"/>
        <w:tblLook w:val="04A0" w:firstRow="1" w:lastRow="0" w:firstColumn="1" w:lastColumn="0" w:noHBand="0" w:noVBand="1"/>
      </w:tblPr>
      <w:tblGrid>
        <w:gridCol w:w="7827"/>
        <w:gridCol w:w="1523"/>
      </w:tblGrid>
      <w:tr w:rsidR="00590E0B" w14:paraId="50A90265" w14:textId="77777777" w:rsidTr="00590E0B">
        <w:trPr>
          <w:trHeight w:val="720"/>
        </w:trPr>
        <w:tc>
          <w:tcPr>
            <w:tcW w:w="8028" w:type="dxa"/>
            <w:tcBorders>
              <w:top w:val="single" w:sz="4" w:space="0" w:color="auto"/>
              <w:left w:val="single" w:sz="4" w:space="0" w:color="auto"/>
              <w:bottom w:val="single" w:sz="4" w:space="0" w:color="auto"/>
              <w:right w:val="single" w:sz="4" w:space="0" w:color="auto"/>
            </w:tcBorders>
          </w:tcPr>
          <w:p w14:paraId="1AEDFC1C" w14:textId="77777777" w:rsidR="00590E0B" w:rsidRDefault="00590E0B">
            <w:pPr>
              <w:rPr>
                <w:rFonts w:ascii="Calibri" w:hAnsi="Calibri" w:cs="Calibri"/>
                <w:b/>
                <w:color w:val="000004"/>
                <w:sz w:val="24"/>
                <w:szCs w:val="24"/>
              </w:rPr>
            </w:pPr>
          </w:p>
        </w:tc>
        <w:tc>
          <w:tcPr>
            <w:tcW w:w="1548" w:type="dxa"/>
            <w:tcBorders>
              <w:top w:val="single" w:sz="4" w:space="0" w:color="auto"/>
              <w:left w:val="single" w:sz="4" w:space="0" w:color="auto"/>
              <w:bottom w:val="single" w:sz="4" w:space="0" w:color="auto"/>
              <w:right w:val="single" w:sz="4" w:space="0" w:color="auto"/>
            </w:tcBorders>
          </w:tcPr>
          <w:p w14:paraId="36ED8235" w14:textId="77777777" w:rsidR="00590E0B" w:rsidRDefault="00590E0B">
            <w:pPr>
              <w:rPr>
                <w:rFonts w:ascii="Calibri" w:hAnsi="Calibri" w:cs="Calibri"/>
                <w:b/>
                <w:color w:val="000004"/>
                <w:sz w:val="24"/>
                <w:szCs w:val="24"/>
              </w:rPr>
            </w:pPr>
          </w:p>
        </w:tc>
      </w:tr>
      <w:tr w:rsidR="00590E0B" w14:paraId="5181CDD8" w14:textId="77777777" w:rsidTr="00590E0B">
        <w:trPr>
          <w:trHeight w:val="720"/>
        </w:trPr>
        <w:tc>
          <w:tcPr>
            <w:tcW w:w="8028" w:type="dxa"/>
            <w:tcBorders>
              <w:top w:val="single" w:sz="4" w:space="0" w:color="auto"/>
              <w:left w:val="single" w:sz="4" w:space="0" w:color="auto"/>
              <w:bottom w:val="single" w:sz="4" w:space="0" w:color="auto"/>
              <w:right w:val="single" w:sz="4" w:space="0" w:color="auto"/>
            </w:tcBorders>
            <w:hideMark/>
          </w:tcPr>
          <w:p w14:paraId="7ECDC00B" w14:textId="77777777" w:rsidR="00590E0B" w:rsidRDefault="00590E0B">
            <w:pPr>
              <w:rPr>
                <w:rFonts w:ascii="Calibri" w:hAnsi="Calibri" w:cs="Calibri"/>
                <w:b/>
                <w:color w:val="000004"/>
                <w:sz w:val="24"/>
                <w:szCs w:val="24"/>
              </w:rPr>
            </w:pPr>
            <w:r>
              <w:rPr>
                <w:rFonts w:ascii="Calibri" w:hAnsi="Calibri" w:cs="Calibri"/>
                <w:b/>
                <w:color w:val="000004"/>
                <w:sz w:val="24"/>
                <w:szCs w:val="24"/>
              </w:rPr>
              <w:t>Vice Provost for Academic Personnel</w:t>
            </w:r>
          </w:p>
        </w:tc>
        <w:tc>
          <w:tcPr>
            <w:tcW w:w="1548" w:type="dxa"/>
            <w:tcBorders>
              <w:top w:val="single" w:sz="4" w:space="0" w:color="auto"/>
              <w:left w:val="single" w:sz="4" w:space="0" w:color="auto"/>
              <w:bottom w:val="single" w:sz="4" w:space="0" w:color="auto"/>
              <w:right w:val="single" w:sz="4" w:space="0" w:color="auto"/>
            </w:tcBorders>
            <w:hideMark/>
          </w:tcPr>
          <w:p w14:paraId="364D60A8" w14:textId="77777777" w:rsidR="00590E0B" w:rsidRDefault="00590E0B">
            <w:pPr>
              <w:rPr>
                <w:rFonts w:ascii="Calibri" w:hAnsi="Calibri" w:cs="Calibri"/>
                <w:b/>
                <w:color w:val="000004"/>
                <w:sz w:val="24"/>
                <w:szCs w:val="24"/>
              </w:rPr>
            </w:pPr>
            <w:r>
              <w:rPr>
                <w:rFonts w:ascii="Calibri" w:hAnsi="Calibri" w:cs="Calibri"/>
                <w:b/>
                <w:color w:val="000004"/>
                <w:sz w:val="24"/>
                <w:szCs w:val="24"/>
              </w:rPr>
              <w:t>Date</w:t>
            </w:r>
          </w:p>
        </w:tc>
      </w:tr>
    </w:tbl>
    <w:p w14:paraId="7BC2B5E0" w14:textId="77777777" w:rsidR="00590E0B" w:rsidRDefault="00590E0B" w:rsidP="00590E0B">
      <w:pPr>
        <w:rPr>
          <w:rFonts w:asciiTheme="minorHAnsi" w:hAnsiTheme="minorHAnsi" w:cstheme="minorHAnsi"/>
          <w:b/>
          <w:color w:val="000004"/>
          <w:sz w:val="22"/>
          <w:szCs w:val="22"/>
        </w:rPr>
      </w:pPr>
    </w:p>
    <w:p w14:paraId="77C84D7B" w14:textId="77777777" w:rsidR="00590E0B" w:rsidRDefault="00590E0B" w:rsidP="00590E0B">
      <w:pPr>
        <w:rPr>
          <w:rFonts w:cstheme="minorHAnsi"/>
          <w:b/>
          <w:color w:val="000004"/>
        </w:rPr>
      </w:pPr>
    </w:p>
    <w:p w14:paraId="6A3207AC" w14:textId="33E8D5B8" w:rsidR="00590E0B" w:rsidRDefault="0010685C">
      <w:pPr>
        <w:rPr>
          <w:rFonts w:ascii="Arial" w:hAnsi="Arial"/>
          <w:b/>
        </w:rPr>
      </w:pPr>
      <w:r>
        <w:rPr>
          <w:rFonts w:ascii="Arial" w:hAnsi="Arial"/>
          <w:b/>
        </w:rPr>
        <w:br w:type="page"/>
      </w:r>
    </w:p>
    <w:p w14:paraId="6B756384" w14:textId="7622A806" w:rsidR="008D3C11" w:rsidRPr="00016AB7" w:rsidRDefault="008C4219" w:rsidP="008D3C11">
      <w:pPr>
        <w:spacing w:after="120"/>
        <w:jc w:val="center"/>
        <w:rPr>
          <w:rFonts w:ascii="Arial" w:hAnsi="Arial"/>
          <w:b/>
        </w:rPr>
      </w:pPr>
      <w:r>
        <w:rPr>
          <w:rFonts w:ascii="Arial" w:hAnsi="Arial"/>
          <w:b/>
        </w:rPr>
        <w:lastRenderedPageBreak/>
        <w:t xml:space="preserve">SCHOOL FOR THE FUTURE OF INNOVATION IN SOCIEY </w:t>
      </w:r>
      <w:r>
        <w:rPr>
          <w:rFonts w:ascii="Arial" w:hAnsi="Arial"/>
          <w:b/>
        </w:rPr>
        <w:br/>
      </w:r>
      <w:r w:rsidR="009A7EA2">
        <w:rPr>
          <w:rFonts w:ascii="Arial" w:hAnsi="Arial"/>
          <w:b/>
        </w:rPr>
        <w:t>Pol</w:t>
      </w:r>
      <w:r w:rsidR="00F07D39">
        <w:rPr>
          <w:rFonts w:ascii="Arial" w:hAnsi="Arial"/>
          <w:b/>
        </w:rPr>
        <w:t>i</w:t>
      </w:r>
      <w:r w:rsidR="009A7EA2">
        <w:rPr>
          <w:rFonts w:ascii="Arial" w:hAnsi="Arial"/>
          <w:b/>
        </w:rPr>
        <w:t xml:space="preserve">cy </w:t>
      </w:r>
      <w:r w:rsidR="008D3C11">
        <w:rPr>
          <w:rFonts w:ascii="Arial" w:hAnsi="Arial"/>
          <w:b/>
        </w:rPr>
        <w:t xml:space="preserve">for Faculty </w:t>
      </w:r>
      <w:r w:rsidR="009543B4">
        <w:rPr>
          <w:rFonts w:ascii="Arial" w:hAnsi="Arial"/>
          <w:b/>
        </w:rPr>
        <w:t xml:space="preserve">Performance </w:t>
      </w:r>
      <w:r w:rsidR="00E11B1A">
        <w:rPr>
          <w:rFonts w:ascii="Arial" w:hAnsi="Arial"/>
          <w:b/>
        </w:rPr>
        <w:t>Review</w:t>
      </w:r>
      <w:r w:rsidR="00AE0A98">
        <w:rPr>
          <w:rFonts w:ascii="Arial" w:hAnsi="Arial"/>
          <w:b/>
        </w:rPr>
        <w:t xml:space="preserve"> and Evaluation</w:t>
      </w:r>
    </w:p>
    <w:p w14:paraId="0581D751" w14:textId="77777777" w:rsidR="007738DD" w:rsidRDefault="007738DD" w:rsidP="007738DD"/>
    <w:p w14:paraId="27AFEDEC" w14:textId="586BA666" w:rsidR="007738DD" w:rsidRPr="008D3C11" w:rsidRDefault="000B480D" w:rsidP="00990A1E">
      <w:pPr>
        <w:pStyle w:val="Sections"/>
      </w:pPr>
      <w:r>
        <w:t>Preamble</w:t>
      </w:r>
    </w:p>
    <w:p w14:paraId="33B7062B" w14:textId="6B452F67" w:rsidR="003E1C7E" w:rsidRPr="00484007" w:rsidRDefault="003E1C7E" w:rsidP="00484007">
      <w:pPr>
        <w:pStyle w:val="Subsection"/>
      </w:pPr>
      <w:r w:rsidRPr="00484007">
        <w:t xml:space="preserve">The School for the Future of Innovation in Society (SFIS) is a transdisciplinary school that is committed to informing, supporting, and enabling socially responsible and beneficial innovation through a multifaceted and integrated faculty-led program of research, scholarship and creative activities; teaching and instruction; </w:t>
      </w:r>
      <w:r w:rsidR="00A829EA" w:rsidRPr="00484007">
        <w:t xml:space="preserve">and </w:t>
      </w:r>
      <w:r w:rsidRPr="00484007">
        <w:t xml:space="preserve">professional </w:t>
      </w:r>
      <w:r w:rsidR="00A829EA" w:rsidRPr="00484007">
        <w:t xml:space="preserve">and public </w:t>
      </w:r>
      <w:r w:rsidRPr="00484007">
        <w:t>service</w:t>
      </w:r>
      <w:r w:rsidR="00A829EA" w:rsidRPr="00484007">
        <w:t>, including</w:t>
      </w:r>
      <w:r w:rsidRPr="00484007">
        <w:t xml:space="preserve"> engagement, communication, and translation. </w:t>
      </w:r>
    </w:p>
    <w:p w14:paraId="0F748168" w14:textId="0976B0D8" w:rsidR="003E1C7E" w:rsidRDefault="003E1C7E" w:rsidP="00484007">
      <w:pPr>
        <w:pStyle w:val="Subsection"/>
      </w:pPr>
      <w:r>
        <w:t xml:space="preserve">The school emphasizes knowledge generation and application that transcends conventional disciplinary and sectoral boundaries, leverages a diverse spectrum of </w:t>
      </w:r>
      <w:r w:rsidR="00A829EA">
        <w:t xml:space="preserve">knowledge, </w:t>
      </w:r>
      <w:r>
        <w:t>expertise, skills, and perspectives</w:t>
      </w:r>
      <w:r w:rsidR="000F65FC">
        <w:t>, and has a positive and transformative impact on organizations, institutions, communities, and publics more broadly</w:t>
      </w:r>
      <w:r>
        <w:t xml:space="preserve">. </w:t>
      </w:r>
    </w:p>
    <w:p w14:paraId="039527D6" w14:textId="0ACD5B94" w:rsidR="003E1C7E" w:rsidRDefault="003E1C7E" w:rsidP="00484007">
      <w:pPr>
        <w:pStyle w:val="Subsection"/>
      </w:pPr>
      <w:r>
        <w:t xml:space="preserve">SFIS </w:t>
      </w:r>
      <w:r w:rsidR="008B76BC">
        <w:t xml:space="preserve">fully </w:t>
      </w:r>
      <w:r>
        <w:t>embraces the ASU Charter</w:t>
      </w:r>
      <w:r w:rsidR="00A829EA">
        <w:t xml:space="preserve"> and</w:t>
      </w:r>
      <w:r>
        <w:t xml:space="preserve"> its emphasis on access, excellence, and impact, and the Design Aspirations of the New American University. </w:t>
      </w:r>
    </w:p>
    <w:p w14:paraId="7A9964A4" w14:textId="79808043" w:rsidR="00723DA9" w:rsidRDefault="003E1C7E" w:rsidP="00484007">
      <w:pPr>
        <w:pStyle w:val="Subsection"/>
      </w:pPr>
      <w:r>
        <w:t>These guidelines are designed to establish expectations and process</w:t>
      </w:r>
      <w:r w:rsidR="0095093D">
        <w:t>es</w:t>
      </w:r>
      <w:r>
        <w:t xml:space="preserve"> for </w:t>
      </w:r>
      <w:r w:rsidR="0095093D">
        <w:t xml:space="preserve">annual performance evaluations </w:t>
      </w:r>
      <w:r w:rsidR="008B76BC">
        <w:t xml:space="preserve">for faculty </w:t>
      </w:r>
      <w:r w:rsidR="0095093D">
        <w:t xml:space="preserve">in SFIS. </w:t>
      </w:r>
      <w:r>
        <w:t xml:space="preserve">They set out school-specific expectations and evaluation criteria, within </w:t>
      </w:r>
      <w:r w:rsidR="0095093D">
        <w:t>the context of ASU expectations</w:t>
      </w:r>
      <w:r w:rsidR="0078511B">
        <w:t xml:space="preserve">, </w:t>
      </w:r>
      <w:r w:rsidR="004B6F9B">
        <w:t xml:space="preserve">and </w:t>
      </w:r>
      <w:r w:rsidR="002B3FBD">
        <w:t>clarify the timeline along which the annual evaluation process occurs</w:t>
      </w:r>
      <w:r w:rsidR="005F1DF3">
        <w:t xml:space="preserve">. </w:t>
      </w:r>
    </w:p>
    <w:p w14:paraId="093D24F7" w14:textId="1F9DA80F" w:rsidR="00FD7F5F" w:rsidRDefault="00FD7F5F" w:rsidP="00484007">
      <w:pPr>
        <w:pStyle w:val="Subsection"/>
      </w:pPr>
      <w:r>
        <w:t>These guidelines form part of a broader collection of processes and expectations that support faculty professional development within SFIS</w:t>
      </w:r>
      <w:r w:rsidR="00FC5B60">
        <w:t>, including formal and informal mentoring as well as other organized reviews, e.g., third year review and promotion and tenure</w:t>
      </w:r>
      <w:r>
        <w:t>.</w:t>
      </w:r>
      <w:r w:rsidR="00D50FF7">
        <w:t xml:space="preserve"> While important, the</w:t>
      </w:r>
      <w:r w:rsidR="00FC5B60">
        <w:t>se guidelines</w:t>
      </w:r>
      <w:r w:rsidR="00D50FF7">
        <w:t xml:space="preserve"> should not be taken as the sole, or even the primary, means of enabling faculty to reach their professional and career goals.  </w:t>
      </w:r>
    </w:p>
    <w:p w14:paraId="66C98D94" w14:textId="050267FE" w:rsidR="006D6C59" w:rsidRPr="006D6C59" w:rsidRDefault="006D6C59" w:rsidP="00484007">
      <w:pPr>
        <w:pStyle w:val="Subsection"/>
      </w:pPr>
      <w:r w:rsidRPr="006D6C59">
        <w:t>Annual performance evaluations serve</w:t>
      </w:r>
      <w:r w:rsidR="00360439">
        <w:t xml:space="preserve"> three distinct purposes: compliance</w:t>
      </w:r>
      <w:r w:rsidRPr="006D6C59">
        <w:t xml:space="preserve"> with </w:t>
      </w:r>
      <w:r w:rsidR="00FC5B60">
        <w:t xml:space="preserve">Arizona </w:t>
      </w:r>
      <w:r w:rsidRPr="006D6C59">
        <w:t xml:space="preserve">Board of Regents requirements to encourage faculty to establish goals for continued </w:t>
      </w:r>
      <w:r w:rsidR="00360439">
        <w:t>academic progress; guiding</w:t>
      </w:r>
      <w:r w:rsidRPr="006D6C59">
        <w:t xml:space="preserve"> decisions about s</w:t>
      </w:r>
      <w:r w:rsidR="00360439">
        <w:t>alary adjustments; and instituting</w:t>
      </w:r>
      <w:r w:rsidRPr="006D6C59">
        <w:t xml:space="preserve"> the first step in the post-tenure review process for tenured faculty. An annual review on progress toward tenure for probationary faculty may occur at the same time and be based on the same material as the annual performance evaluation; however, probationary reviews are prospective and reflect the academic unit’s review of the candidate’s future promise. Annual performance evaluations are retrospective. The procedures and standards used in annual performance evaluations must be consistent with but are different from those used in retention, tenure, and promotion reviews.</w:t>
      </w:r>
      <w:r>
        <w:t xml:space="preserve"> (</w:t>
      </w:r>
      <w:hyperlink r:id="rId7" w:history="1">
        <w:r w:rsidRPr="006D6C59">
          <w:rPr>
            <w:rStyle w:val="Hyperlink"/>
          </w:rPr>
          <w:t>ACD 506-10</w:t>
        </w:r>
      </w:hyperlink>
      <w:r>
        <w:t>)</w:t>
      </w:r>
    </w:p>
    <w:p w14:paraId="60095011" w14:textId="566DDBD2" w:rsidR="00736BCE" w:rsidRDefault="00975EB7" w:rsidP="00484007">
      <w:pPr>
        <w:pStyle w:val="Subsection"/>
      </w:pPr>
      <w:r w:rsidRPr="008D3C11">
        <w:t xml:space="preserve">The SFIS Annual Review process is </w:t>
      </w:r>
      <w:r w:rsidR="00005F6D">
        <w:t xml:space="preserve">specifically </w:t>
      </w:r>
      <w:r w:rsidRPr="008D3C11">
        <w:t>designed to</w:t>
      </w:r>
      <w:r w:rsidR="00736BCE">
        <w:t>:</w:t>
      </w:r>
    </w:p>
    <w:p w14:paraId="1F7CA43B" w14:textId="4E9E29CB" w:rsidR="00736BCE" w:rsidRDefault="00736BCE" w:rsidP="00484007">
      <w:pPr>
        <w:pStyle w:val="SubSubSection"/>
      </w:pPr>
      <w:r>
        <w:t>S</w:t>
      </w:r>
      <w:r w:rsidR="00975EB7" w:rsidRPr="008D3C11">
        <w:t>atisfy ASU requirements for annual facul</w:t>
      </w:r>
      <w:r w:rsidR="00001E6A" w:rsidRPr="008D3C11">
        <w:t>ty performance evaluations</w:t>
      </w:r>
      <w:r>
        <w:t xml:space="preserve"> (</w:t>
      </w:r>
      <w:r w:rsidR="006D6C59">
        <w:t xml:space="preserve">ACD </w:t>
      </w:r>
      <w:hyperlink r:id="rId8" w:history="1">
        <w:r w:rsidR="006D6C59" w:rsidRPr="006D6C59">
          <w:rPr>
            <w:rStyle w:val="Hyperlink"/>
          </w:rPr>
          <w:t>506-10</w:t>
        </w:r>
      </w:hyperlink>
      <w:r>
        <w:t xml:space="preserve">); </w:t>
      </w:r>
    </w:p>
    <w:p w14:paraId="5307D9D0" w14:textId="0C224574" w:rsidR="00736BCE" w:rsidRDefault="00736BCE" w:rsidP="00484007">
      <w:pPr>
        <w:pStyle w:val="SubSubSection"/>
      </w:pPr>
      <w:r>
        <w:t>P</w:t>
      </w:r>
      <w:r w:rsidR="00975EB7" w:rsidRPr="008D3C11">
        <w:t>rovide a mechanism for faculty self-evaluation, mentorship, and professional development</w:t>
      </w:r>
      <w:r w:rsidR="00517CE1">
        <w:t>,</w:t>
      </w:r>
      <w:r w:rsidR="00975EB7" w:rsidRPr="008D3C11">
        <w:t xml:space="preserve"> that helps identify progress toward articulated goals and aspirations, and opp</w:t>
      </w:r>
      <w:r>
        <w:t>ortunities for progress; and</w:t>
      </w:r>
    </w:p>
    <w:p w14:paraId="2A10E39A" w14:textId="2C900277" w:rsidR="00975EB7" w:rsidRDefault="00736BCE" w:rsidP="00484007">
      <w:pPr>
        <w:pStyle w:val="SubSubSection"/>
      </w:pPr>
      <w:r>
        <w:t>F</w:t>
      </w:r>
      <w:r w:rsidR="00975EB7" w:rsidRPr="008D3C11">
        <w:t xml:space="preserve">orm a structured basis for school-based annual evaluations and merit review. </w:t>
      </w:r>
    </w:p>
    <w:p w14:paraId="7944696A" w14:textId="0967D66E" w:rsidR="007A1248" w:rsidRDefault="007A1248" w:rsidP="00484007">
      <w:pPr>
        <w:pStyle w:val="Subsection"/>
      </w:pPr>
      <w:r w:rsidRPr="00D643C8">
        <w:lastRenderedPageBreak/>
        <w:t xml:space="preserve">Faculty </w:t>
      </w:r>
      <w:r>
        <w:t xml:space="preserve">performance </w:t>
      </w:r>
      <w:r w:rsidRPr="00D643C8">
        <w:t xml:space="preserve">will be reviewed </w:t>
      </w:r>
      <w:r>
        <w:t xml:space="preserve">within </w:t>
      </w:r>
      <w:r w:rsidR="00517CE1">
        <w:t>three</w:t>
      </w:r>
      <w:r>
        <w:t xml:space="preserve"> areas. In each, performance will be assessed based on key </w:t>
      </w:r>
      <w:r w:rsidR="00D57119">
        <w:t>indicators</w:t>
      </w:r>
      <w:r>
        <w:t xml:space="preserve"> of success</w:t>
      </w:r>
      <w:r w:rsidR="00456B92">
        <w:t>,</w:t>
      </w:r>
      <w:r>
        <w:t xml:space="preserve"> </w:t>
      </w:r>
      <w:r w:rsidR="00456B92">
        <w:t>together with</w:t>
      </w:r>
      <w:r>
        <w:t xml:space="preserve"> accompanying narratives which provide additional context and explanation. In addition, faculty will be required to provide a brief statement that describes their </w:t>
      </w:r>
      <w:r w:rsidR="00456B92">
        <w:t>goals, aspirations, and program</w:t>
      </w:r>
      <w:r>
        <w:t xml:space="preserve">, and how it aligns with SFIS and ASU expectations and aspirations. The </w:t>
      </w:r>
      <w:r w:rsidR="00456B92">
        <w:t>three</w:t>
      </w:r>
      <w:r>
        <w:t xml:space="preserve"> areas of evaluation are:</w:t>
      </w:r>
    </w:p>
    <w:p w14:paraId="508CF7D3" w14:textId="77777777" w:rsidR="007A1248" w:rsidRPr="00D33128" w:rsidRDefault="007A1248" w:rsidP="00484007">
      <w:pPr>
        <w:pStyle w:val="SubSubSection"/>
      </w:pPr>
      <w:r w:rsidRPr="00D33128">
        <w:t>Research, Scholarship, and/or Creative Activities.</w:t>
      </w:r>
    </w:p>
    <w:p w14:paraId="4B0C3E48" w14:textId="77777777" w:rsidR="007A1248" w:rsidRPr="00D33128" w:rsidRDefault="007A1248" w:rsidP="00484007">
      <w:pPr>
        <w:pStyle w:val="SubSubSection"/>
      </w:pPr>
      <w:r w:rsidRPr="00D33128">
        <w:t>Teaching and Instruction.</w:t>
      </w:r>
    </w:p>
    <w:p w14:paraId="2D0A910F" w14:textId="28A98445" w:rsidR="007A1248" w:rsidRDefault="007A1248" w:rsidP="00484007">
      <w:pPr>
        <w:pStyle w:val="SubSubSection"/>
      </w:pPr>
      <w:r w:rsidRPr="00D33128">
        <w:t xml:space="preserve">Professional </w:t>
      </w:r>
      <w:r w:rsidR="00456B92">
        <w:t xml:space="preserve">and public service, including communication, </w:t>
      </w:r>
      <w:r w:rsidRPr="00D33128">
        <w:t>engagement, translation</w:t>
      </w:r>
      <w:r w:rsidR="00AA2280">
        <w:t>, and leadership.</w:t>
      </w:r>
    </w:p>
    <w:p w14:paraId="1C88CAF4" w14:textId="209B2E4D" w:rsidR="00E96212" w:rsidRDefault="00FC5B60" w:rsidP="00484007">
      <w:pPr>
        <w:pStyle w:val="Subsection"/>
      </w:pPr>
      <w:r>
        <w:t>There</w:t>
      </w:r>
      <w:r w:rsidR="00AA2280">
        <w:t xml:space="preserve"> is considerable fluidity between these categories, and many </w:t>
      </w:r>
      <w:proofErr w:type="gramStart"/>
      <w:r w:rsidR="00AA2280">
        <w:t>faculty</w:t>
      </w:r>
      <w:proofErr w:type="gramEnd"/>
      <w:r w:rsidR="00AA2280">
        <w:t xml:space="preserve"> will be engaged in activities that </w:t>
      </w:r>
      <w:r>
        <w:t>take good advantage of that fluidity</w:t>
      </w:r>
      <w:r w:rsidR="00AA2280">
        <w:t xml:space="preserve">. For instance, </w:t>
      </w:r>
      <w:r w:rsidR="002B6873">
        <w:t>some</w:t>
      </w:r>
      <w:r w:rsidR="00AA2280">
        <w:t xml:space="preserve"> faculty are engaged in community/engagement activities which holistically combine </w:t>
      </w:r>
      <w:r>
        <w:t>scholarship, instruction and service</w:t>
      </w:r>
      <w:r w:rsidR="00AA2280">
        <w:t xml:space="preserve">. While such activities may be placed within </w:t>
      </w:r>
      <w:r w:rsidR="00E96212">
        <w:t>a specific</w:t>
      </w:r>
      <w:r w:rsidR="00AA2280">
        <w:t xml:space="preserve"> category for the purposes of aligning evaluation with ASU expectations, the value and importance of </w:t>
      </w:r>
      <w:r w:rsidR="00E96212">
        <w:t>this work will be assessed on its own merit, irrespective of how it is categorized.</w:t>
      </w:r>
      <w:r>
        <w:t xml:space="preserve"> Given the commitment of the school to the ASU Charter and the Design Aspirations, there are expectations that faculty would affirmatively act across these categories.</w:t>
      </w:r>
    </w:p>
    <w:p w14:paraId="2E88DF06" w14:textId="78C393B9" w:rsidR="00E96212" w:rsidRDefault="00E96212" w:rsidP="00484007">
      <w:pPr>
        <w:pStyle w:val="Subsection"/>
      </w:pPr>
      <w:r>
        <w:t>It is furthermore recognized that professional and public service, defined as enriching, enabling and empowering diverse communities through professional support, communication, engagement, translation, leadership, and other forms of interactions, is a highly valued and critical component (where relevant) of</w:t>
      </w:r>
      <w:r w:rsidR="002B6873">
        <w:t xml:space="preserve"> the school’s expectations of faculty.</w:t>
      </w:r>
      <w:r>
        <w:t xml:space="preserve"> </w:t>
      </w:r>
    </w:p>
    <w:p w14:paraId="196447AF" w14:textId="7A9FC10A" w:rsidR="00AA2280" w:rsidRDefault="00E96212" w:rsidP="00484007">
      <w:pPr>
        <w:pStyle w:val="Subsection"/>
      </w:pPr>
      <w:r>
        <w:t xml:space="preserve">Likewise, it is recognized that excellence and impact in education and instruction, whether formal or informal, </w:t>
      </w:r>
      <w:r w:rsidR="00F3356A">
        <w:t xml:space="preserve">is an essential part of </w:t>
      </w:r>
      <w:r w:rsidR="002B6873">
        <w:t xml:space="preserve">the school’s </w:t>
      </w:r>
      <w:r w:rsidR="00F3356A">
        <w:t>expectations</w:t>
      </w:r>
      <w:r w:rsidR="002B6873">
        <w:t xml:space="preserve"> of faculty with teaching responsibilities</w:t>
      </w:r>
      <w:r w:rsidR="00F3356A">
        <w:t xml:space="preserve">.   </w:t>
      </w:r>
      <w:r>
        <w:t xml:space="preserve">  </w:t>
      </w:r>
      <w:r w:rsidR="00AA2280">
        <w:t xml:space="preserve">    </w:t>
      </w:r>
    </w:p>
    <w:p w14:paraId="2D6C2F93" w14:textId="0AA0B2CD" w:rsidR="00ED5CFF" w:rsidRDefault="00ED5CFF" w:rsidP="00484007">
      <w:pPr>
        <w:pStyle w:val="Subsection"/>
      </w:pPr>
      <w:r>
        <w:t>SFIS recogniz</w:t>
      </w:r>
      <w:r w:rsidRPr="00ED5CFF">
        <w:t>es that outcomes and measures in each category will be</w:t>
      </w:r>
      <w:r w:rsidR="00EF580F">
        <w:t xml:space="preserve"> subject to relative opportunities</w:t>
      </w:r>
      <w:r w:rsidRPr="00ED5CFF">
        <w:t xml:space="preserve"> based </w:t>
      </w:r>
      <w:r>
        <w:t xml:space="preserve">on the </w:t>
      </w:r>
      <w:r w:rsidR="00D91F82">
        <w:t xml:space="preserve">areas of expertise </w:t>
      </w:r>
      <w:r>
        <w:t>and/or organiz</w:t>
      </w:r>
      <w:r w:rsidRPr="00ED5CFF">
        <w:t xml:space="preserve">ational context </w:t>
      </w:r>
      <w:r w:rsidR="00CD6030">
        <w:t>with</w:t>
      </w:r>
      <w:r w:rsidRPr="00ED5CFF">
        <w:t xml:space="preserve">in which academic work is carried out. </w:t>
      </w:r>
    </w:p>
    <w:p w14:paraId="0262E25B" w14:textId="287F6778" w:rsidR="003B2815" w:rsidRPr="003B2815" w:rsidRDefault="003B2815" w:rsidP="00484007">
      <w:pPr>
        <w:pStyle w:val="Subsection"/>
      </w:pPr>
      <w:r w:rsidRPr="003B2815">
        <w:t xml:space="preserve">The criteria </w:t>
      </w:r>
      <w:r w:rsidR="009671D2">
        <w:t>established</w:t>
      </w:r>
      <w:r w:rsidRPr="003B2815">
        <w:t xml:space="preserve"> within </w:t>
      </w:r>
      <w:r>
        <w:t>these guidelines</w:t>
      </w:r>
      <w:r w:rsidRPr="003B2815">
        <w:t xml:space="preserve"> </w:t>
      </w:r>
      <w:r>
        <w:t>should be</w:t>
      </w:r>
      <w:r w:rsidRPr="003B2815">
        <w:t xml:space="preserve"> viewed as reasonable expectations of performance for </w:t>
      </w:r>
      <w:r>
        <w:t>a faculty</w:t>
      </w:r>
      <w:r w:rsidRPr="003B2815">
        <w:t xml:space="preserve"> member</w:t>
      </w:r>
      <w:r>
        <w:t xml:space="preserve"> within the school</w:t>
      </w:r>
      <w:r w:rsidRPr="003B2815">
        <w:t>. However,</w:t>
      </w:r>
      <w:r>
        <w:t xml:space="preserve"> these should not be used as </w:t>
      </w:r>
      <w:r w:rsidR="009671D2">
        <w:t xml:space="preserve">an </w:t>
      </w:r>
      <w:r w:rsidRPr="003B2815">
        <w:t>absolute</w:t>
      </w:r>
      <w:r>
        <w:t xml:space="preserve">, </w:t>
      </w:r>
      <w:r w:rsidRPr="003B2815">
        <w:t>but rather as an indication of perfo</w:t>
      </w:r>
      <w:r>
        <w:t xml:space="preserve">rmance that </w:t>
      </w:r>
      <w:r w:rsidR="009671D2">
        <w:t>should</w:t>
      </w:r>
      <w:r>
        <w:t xml:space="preserve"> be contextualiz</w:t>
      </w:r>
      <w:r w:rsidRPr="003B2815">
        <w:t xml:space="preserve">ed based on achievement relative to </w:t>
      </w:r>
      <w:r w:rsidR="007F76D2">
        <w:t>areas of expertise</w:t>
      </w:r>
      <w:r w:rsidRPr="003B2815">
        <w:t xml:space="preserve">. </w:t>
      </w:r>
    </w:p>
    <w:p w14:paraId="1455B031" w14:textId="03E46963" w:rsidR="003B2815" w:rsidRPr="003B2815" w:rsidRDefault="003B2815" w:rsidP="00484007">
      <w:pPr>
        <w:pStyle w:val="Subsection"/>
      </w:pPr>
      <w:r w:rsidRPr="003B2815">
        <w:t xml:space="preserve">It is important to acknowledge that </w:t>
      </w:r>
      <w:r>
        <w:t>these guidelines are</w:t>
      </w:r>
      <w:r w:rsidRPr="003B2815">
        <w:t xml:space="preserve"> </w:t>
      </w:r>
      <w:r w:rsidRPr="003B2815">
        <w:rPr>
          <w:bCs/>
        </w:rPr>
        <w:t>not intended to provide a checklist to follow</w:t>
      </w:r>
      <w:r w:rsidRPr="003B2815">
        <w:t xml:space="preserve">, but rather </w:t>
      </w:r>
      <w:r>
        <w:t xml:space="preserve">to </w:t>
      </w:r>
      <w:r w:rsidRPr="003B2815">
        <w:t>serve as an</w:t>
      </w:r>
      <w:r>
        <w:t xml:space="preserve"> indicative guide to activities, outputs and outcomes that constitute a reasonable expectation of performance.</w:t>
      </w:r>
      <w:r w:rsidRPr="003B2815">
        <w:t xml:space="preserve"> </w:t>
      </w:r>
    </w:p>
    <w:p w14:paraId="322737D9" w14:textId="3AB12875" w:rsidR="00DD4866" w:rsidRDefault="00DD4866" w:rsidP="00484007">
      <w:pPr>
        <w:pStyle w:val="Subsection"/>
      </w:pPr>
      <w:r w:rsidRPr="00DD4866">
        <w:t xml:space="preserve">It is </w:t>
      </w:r>
      <w:r>
        <w:t>expected</w:t>
      </w:r>
      <w:r w:rsidRPr="00DD4866">
        <w:t xml:space="preserve"> that </w:t>
      </w:r>
      <w:r>
        <w:t>faculty</w:t>
      </w:r>
      <w:r w:rsidRPr="00DD4866">
        <w:t xml:space="preserve"> working at a particular academic level will also demonstrate and/or be involved with </w:t>
      </w:r>
      <w:r>
        <w:t xml:space="preserve">expectations and </w:t>
      </w:r>
      <w:r w:rsidRPr="00DD4866">
        <w:t xml:space="preserve">outcomes </w:t>
      </w:r>
      <w:r>
        <w:t>associated with preceding</w:t>
      </w:r>
      <w:r w:rsidRPr="00DD4866">
        <w:t xml:space="preserve"> academic</w:t>
      </w:r>
      <w:r w:rsidR="005F2145">
        <w:t xml:space="preserve"> </w:t>
      </w:r>
      <w:r w:rsidRPr="00DD4866">
        <w:t xml:space="preserve">levels. It is also understood that all performance expectations are subject to and contingent upon individual position descriptions and workload negotiations. </w:t>
      </w:r>
    </w:p>
    <w:p w14:paraId="03B9A514" w14:textId="77777777" w:rsidR="008B4C30" w:rsidRDefault="008B4C30" w:rsidP="00484007">
      <w:pPr>
        <w:pStyle w:val="Subsection"/>
        <w:numPr>
          <w:ilvl w:val="0"/>
          <w:numId w:val="0"/>
        </w:numPr>
        <w:ind w:left="18"/>
      </w:pPr>
    </w:p>
    <w:p w14:paraId="26CFD367" w14:textId="77777777" w:rsidR="00D04006" w:rsidRDefault="00D04006" w:rsidP="00990A1E">
      <w:pPr>
        <w:pStyle w:val="Sections"/>
      </w:pPr>
      <w:r>
        <w:lastRenderedPageBreak/>
        <w:t>Relevant ASU policies and guidance documents:</w:t>
      </w:r>
    </w:p>
    <w:p w14:paraId="46CA8F6A" w14:textId="5235A12B" w:rsidR="00DF6DA7" w:rsidRPr="00DF6DA7" w:rsidRDefault="00DF6DA7" w:rsidP="00484007">
      <w:pPr>
        <w:pStyle w:val="SubSubSection"/>
      </w:pPr>
      <w:r>
        <w:t xml:space="preserve">ACD 506-10: </w:t>
      </w:r>
      <w:hyperlink r:id="rId9" w:history="1">
        <w:r w:rsidRPr="00DF6DA7">
          <w:rPr>
            <w:rStyle w:val="Hyperlink"/>
          </w:rPr>
          <w:t>Annual Evaluations of Faculty</w:t>
        </w:r>
      </w:hyperlink>
    </w:p>
    <w:p w14:paraId="0DEDED0A" w14:textId="36AC5259" w:rsidR="00D04006" w:rsidRDefault="00D04006" w:rsidP="00484007">
      <w:pPr>
        <w:pStyle w:val="SubSubSection"/>
      </w:pPr>
      <w:r w:rsidRPr="00F56B47">
        <w:t xml:space="preserve">ACD </w:t>
      </w:r>
      <w:r>
        <w:t>202-02</w:t>
      </w:r>
      <w:r w:rsidRPr="00F56B47">
        <w:t xml:space="preserve">: </w:t>
      </w:r>
      <w:hyperlink r:id="rId10" w:history="1">
        <w:r w:rsidRPr="00D04006">
          <w:rPr>
            <w:rStyle w:val="Hyperlink"/>
          </w:rPr>
          <w:t>Academic Professional Responsibilities</w:t>
        </w:r>
      </w:hyperlink>
    </w:p>
    <w:p w14:paraId="013FC020" w14:textId="53EB0668" w:rsidR="009C4A32" w:rsidRDefault="009C4A32" w:rsidP="00484007">
      <w:pPr>
        <w:pStyle w:val="SubSubSection"/>
      </w:pPr>
      <w:r w:rsidRPr="009C4A32">
        <w:t xml:space="preserve">ACD 506–11: </w:t>
      </w:r>
      <w:hyperlink r:id="rId11" w:history="1">
        <w:r w:rsidRPr="009C4A32">
          <w:rPr>
            <w:rStyle w:val="Hyperlink"/>
          </w:rPr>
          <w:t>Post-Tenure Review</w:t>
        </w:r>
      </w:hyperlink>
    </w:p>
    <w:p w14:paraId="0A8F935A" w14:textId="3899E762" w:rsidR="00117DC4" w:rsidRPr="009C4A32" w:rsidRDefault="00117DC4" w:rsidP="00484007">
      <w:pPr>
        <w:pStyle w:val="SubSubSection"/>
      </w:pPr>
      <w:r>
        <w:t xml:space="preserve">P7: </w:t>
      </w:r>
      <w:hyperlink r:id="rId12" w:history="1">
        <w:r w:rsidRPr="00117DC4">
          <w:rPr>
            <w:rStyle w:val="Hyperlink"/>
          </w:rPr>
          <w:t>Post tenure Review Process</w:t>
        </w:r>
      </w:hyperlink>
    </w:p>
    <w:p w14:paraId="34DB7371" w14:textId="77777777" w:rsidR="000B480D" w:rsidRDefault="000B480D" w:rsidP="00990A1E">
      <w:pPr>
        <w:pStyle w:val="Sections"/>
        <w:numPr>
          <w:ilvl w:val="0"/>
          <w:numId w:val="0"/>
        </w:numPr>
      </w:pPr>
    </w:p>
    <w:p w14:paraId="0795472E" w14:textId="77777777" w:rsidR="007A1248" w:rsidRPr="007A1248" w:rsidRDefault="00901EB0" w:rsidP="00990A1E">
      <w:pPr>
        <w:pStyle w:val="Sections"/>
      </w:pPr>
      <w:r w:rsidRPr="00164C19">
        <w:t>Applicable faculty</w:t>
      </w:r>
    </w:p>
    <w:p w14:paraId="3B32A72D" w14:textId="2D5EBA04" w:rsidR="00901EB0" w:rsidRPr="0051659E" w:rsidRDefault="00901EB0" w:rsidP="00484007">
      <w:pPr>
        <w:pStyle w:val="Subsection"/>
      </w:pPr>
      <w:r w:rsidRPr="0051659E">
        <w:t xml:space="preserve">All faculty </w:t>
      </w:r>
      <w:r w:rsidR="006D6C59">
        <w:t xml:space="preserve">and academic professionals </w:t>
      </w:r>
      <w:r w:rsidR="00730B1D">
        <w:t>within SFIS</w:t>
      </w:r>
      <w:r w:rsidR="006B45C3">
        <w:t xml:space="preserve"> having at least a 50% appointment</w:t>
      </w:r>
      <w:r w:rsidR="00730B1D">
        <w:t xml:space="preserve">, regardless of rank, </w:t>
      </w:r>
      <w:r w:rsidRPr="0051659E">
        <w:t>are required to participate in the annual review process.</w:t>
      </w:r>
    </w:p>
    <w:p w14:paraId="0524B24F" w14:textId="77777777" w:rsidR="002B6A6C" w:rsidRDefault="002B6A6C" w:rsidP="00990A1E">
      <w:pPr>
        <w:pStyle w:val="Sections"/>
        <w:numPr>
          <w:ilvl w:val="0"/>
          <w:numId w:val="0"/>
        </w:numPr>
      </w:pPr>
    </w:p>
    <w:p w14:paraId="07E56F2B" w14:textId="7E675579" w:rsidR="007D3A0B" w:rsidRDefault="007D3A0B" w:rsidP="00990A1E">
      <w:pPr>
        <w:pStyle w:val="Sections"/>
      </w:pPr>
      <w:r>
        <w:t>Timeline</w:t>
      </w:r>
    </w:p>
    <w:p w14:paraId="5976A8C7" w14:textId="75877444" w:rsidR="007D3A0B" w:rsidRDefault="007D3A0B" w:rsidP="00484007">
      <w:pPr>
        <w:pStyle w:val="Subsection"/>
      </w:pPr>
      <w:r>
        <w:rPr>
          <w:b/>
        </w:rPr>
        <w:t>Requests for material:</w:t>
      </w:r>
      <w:r>
        <w:t xml:space="preserve"> Requests for material </w:t>
      </w:r>
      <w:r w:rsidR="00750EF9">
        <w:t xml:space="preserve">to be evaluated </w:t>
      </w:r>
      <w:r>
        <w:t xml:space="preserve">will be sent out to faculty by </w:t>
      </w:r>
      <w:r w:rsidR="00BA7D98">
        <w:t>early</w:t>
      </w:r>
      <w:r w:rsidR="00BD7001">
        <w:t>-</w:t>
      </w:r>
      <w:r>
        <w:t xml:space="preserve">December. Faculty will </w:t>
      </w:r>
      <w:r w:rsidR="000F6AEA">
        <w:t xml:space="preserve">typically </w:t>
      </w:r>
      <w:r>
        <w:t>have approximately 6 weeks to compile and submit material.</w:t>
      </w:r>
    </w:p>
    <w:p w14:paraId="11A8569B" w14:textId="6B9AECE8" w:rsidR="007D3A0B" w:rsidRDefault="007D3A0B" w:rsidP="00484007">
      <w:pPr>
        <w:pStyle w:val="Subsection"/>
      </w:pPr>
      <w:r w:rsidRPr="007D3A0B">
        <w:rPr>
          <w:b/>
        </w:rPr>
        <w:t>Submission date:</w:t>
      </w:r>
      <w:r>
        <w:t xml:space="preserve"> </w:t>
      </w:r>
      <w:r w:rsidR="008F6DCE">
        <w:t>Evaluation material</w:t>
      </w:r>
      <w:r>
        <w:t xml:space="preserve"> </w:t>
      </w:r>
      <w:r w:rsidR="000B5E98">
        <w:t>will typically be requested</w:t>
      </w:r>
      <w:r>
        <w:t xml:space="preserve"> by the end of the January following the </w:t>
      </w:r>
      <w:r w:rsidR="00750EF9">
        <w:t>evaluation</w:t>
      </w:r>
      <w:r>
        <w:t xml:space="preserve"> period. </w:t>
      </w:r>
      <w:r w:rsidR="00750EF9">
        <w:t>Failure to meet this deadline may affect the final evaluation.</w:t>
      </w:r>
    </w:p>
    <w:p w14:paraId="4AC8CE8A" w14:textId="0103DFC0" w:rsidR="007D3A0B" w:rsidRDefault="00750EF9" w:rsidP="00484007">
      <w:pPr>
        <w:pStyle w:val="Subsection"/>
      </w:pPr>
      <w:r w:rsidRPr="00750EF9">
        <w:rPr>
          <w:b/>
        </w:rPr>
        <w:t>Evaluation completion:</w:t>
      </w:r>
      <w:r>
        <w:t xml:space="preserve"> </w:t>
      </w:r>
      <w:r w:rsidR="007D3A0B">
        <w:t xml:space="preserve">Annual faculty evaluations shall </w:t>
      </w:r>
      <w:r w:rsidR="002C5385">
        <w:t xml:space="preserve">typically be </w:t>
      </w:r>
      <w:r w:rsidR="007D3A0B">
        <w:t xml:space="preserve">completed by </w:t>
      </w:r>
      <w:r w:rsidR="002C5385">
        <w:t xml:space="preserve">the end of </w:t>
      </w:r>
      <w:r w:rsidR="007D3A0B">
        <w:t>March.</w:t>
      </w:r>
    </w:p>
    <w:p w14:paraId="44A86ABF" w14:textId="42939C44" w:rsidR="00750EF9" w:rsidRDefault="00750EF9" w:rsidP="00484007">
      <w:pPr>
        <w:pStyle w:val="Subsection"/>
      </w:pPr>
      <w:r>
        <w:rPr>
          <w:b/>
        </w:rPr>
        <w:t>Feedback:</w:t>
      </w:r>
      <w:r>
        <w:t xml:space="preserve"> Feedback </w:t>
      </w:r>
      <w:r w:rsidR="00D46276">
        <w:t>shall</w:t>
      </w:r>
      <w:r>
        <w:t xml:space="preserve"> </w:t>
      </w:r>
      <w:r w:rsidR="0077268C">
        <w:t xml:space="preserve">typically </w:t>
      </w:r>
      <w:r>
        <w:t xml:space="preserve">be provided to individual faculty on their evaluations no later than </w:t>
      </w:r>
      <w:r w:rsidR="00BA7D98">
        <w:t>mid</w:t>
      </w:r>
      <w:r w:rsidR="00D46276">
        <w:t>-</w:t>
      </w:r>
      <w:r w:rsidR="0077268C">
        <w:t>May</w:t>
      </w:r>
      <w:r>
        <w:t xml:space="preserve"> following the evaluation period.</w:t>
      </w:r>
    </w:p>
    <w:p w14:paraId="05FEC116" w14:textId="2AC20E39" w:rsidR="005F2DB7" w:rsidRDefault="005F2DB7" w:rsidP="00484007">
      <w:pPr>
        <w:pStyle w:val="Subsection"/>
      </w:pPr>
      <w:r w:rsidRPr="005F2DB7">
        <w:t xml:space="preserve">Precise deadlines shall be published each year in the SFIS schedule </w:t>
      </w:r>
      <w:r w:rsidR="00BA7D98">
        <w:t>o</w:t>
      </w:r>
      <w:r w:rsidRPr="005F2DB7">
        <w:t>f personnel</w:t>
      </w:r>
      <w:r w:rsidR="002B6873">
        <w:t xml:space="preserve"> actions</w:t>
      </w:r>
      <w:r w:rsidR="007907D4">
        <w:t>, the publication of which will follow from the university’s published schedule</w:t>
      </w:r>
      <w:r w:rsidRPr="005F2DB7">
        <w:t>.</w:t>
      </w:r>
    </w:p>
    <w:p w14:paraId="079E604A" w14:textId="77777777" w:rsidR="005F2DB7" w:rsidRPr="005F2DB7" w:rsidRDefault="005F2DB7" w:rsidP="00484007">
      <w:pPr>
        <w:pStyle w:val="Subsection"/>
        <w:numPr>
          <w:ilvl w:val="0"/>
          <w:numId w:val="0"/>
        </w:numPr>
        <w:ind w:left="18"/>
      </w:pPr>
    </w:p>
    <w:p w14:paraId="2C1D76BA" w14:textId="07D66A09" w:rsidR="00BB45EB" w:rsidRPr="007A1248" w:rsidRDefault="00BB45EB" w:rsidP="00990A1E">
      <w:pPr>
        <w:pStyle w:val="Sections"/>
      </w:pPr>
      <w:r w:rsidRPr="00164C19">
        <w:t xml:space="preserve">Review </w:t>
      </w:r>
      <w:r>
        <w:t>process</w:t>
      </w:r>
    </w:p>
    <w:p w14:paraId="01609012" w14:textId="641ED721" w:rsidR="00BB45EB" w:rsidRDefault="00BB45EB" w:rsidP="00484007">
      <w:pPr>
        <w:pStyle w:val="Subsection"/>
      </w:pPr>
      <w:r w:rsidRPr="0051659E">
        <w:t xml:space="preserve">Annual reviews are based on performance against expectations for the </w:t>
      </w:r>
      <w:r w:rsidR="00D779D4">
        <w:t xml:space="preserve">previous </w:t>
      </w:r>
      <w:r>
        <w:t>36 months, with an emphasis on the preceding 12 months</w:t>
      </w:r>
      <w:r w:rsidRPr="0051659E">
        <w:t xml:space="preserve">. </w:t>
      </w:r>
      <w:r>
        <w:t>The SFIS review period is based on the calendar year.</w:t>
      </w:r>
    </w:p>
    <w:p w14:paraId="6A30EA6E" w14:textId="4C84FD57" w:rsidR="00FE07EB" w:rsidRDefault="00FE07EB" w:rsidP="00484007">
      <w:pPr>
        <w:pStyle w:val="Subsection"/>
      </w:pPr>
      <w:r>
        <w:t>Faculty are evaluated on a scale of 1 to 3 within each area of evaluation, and across their performance as a whole</w:t>
      </w:r>
      <w:r w:rsidR="008B1039">
        <w:t xml:space="preserve"> (see section 5.</w:t>
      </w:r>
      <w:r w:rsidR="00BE31FE">
        <w:t>5</w:t>
      </w:r>
      <w:r w:rsidR="008B1039">
        <w:t>)</w:t>
      </w:r>
      <w:r>
        <w:t>.</w:t>
      </w:r>
      <w:r w:rsidR="00427052">
        <w:t xml:space="preserve"> These evaluations form the basis of merit-based pay, and administrative actions </w:t>
      </w:r>
      <w:r w:rsidR="00D779D4">
        <w:t>resulting from</w:t>
      </w:r>
      <w:r w:rsidR="00427052">
        <w:t xml:space="preserve"> performance </w:t>
      </w:r>
      <w:r w:rsidR="00206761">
        <w:t>t</w:t>
      </w:r>
      <w:r w:rsidR="00427052">
        <w:t xml:space="preserve">hat is </w:t>
      </w:r>
      <w:r w:rsidR="007E6591">
        <w:t xml:space="preserve">assessed as being </w:t>
      </w:r>
      <w:r w:rsidR="00427052">
        <w:t xml:space="preserve">below expectations. </w:t>
      </w:r>
    </w:p>
    <w:p w14:paraId="6AC88305" w14:textId="2A026E3E" w:rsidR="00206761" w:rsidRDefault="00206761" w:rsidP="00484007">
      <w:pPr>
        <w:pStyle w:val="Subsection"/>
      </w:pPr>
      <w:r>
        <w:t xml:space="preserve">Standard performance metrics such as publications, grants, grant expenditure, teaching loads and evaluations, professional service etc. </w:t>
      </w:r>
      <w:r w:rsidR="004256BC">
        <w:t xml:space="preserve">shall </w:t>
      </w:r>
      <w:r>
        <w:t xml:space="preserve">be </w:t>
      </w:r>
      <w:r w:rsidR="004256BC">
        <w:t>used to inform evaluations</w:t>
      </w:r>
      <w:r w:rsidR="002213FF">
        <w:t xml:space="preserve"> where appropriate.</w:t>
      </w:r>
      <w:r w:rsidR="004256BC">
        <w:t xml:space="preserve"> </w:t>
      </w:r>
      <w:r w:rsidR="002213FF">
        <w:t>However,</w:t>
      </w:r>
      <w:r w:rsidR="004256BC">
        <w:t xml:space="preserve"> </w:t>
      </w:r>
      <w:r w:rsidR="002213FF">
        <w:t xml:space="preserve">they </w:t>
      </w:r>
      <w:r w:rsidR="004256BC">
        <w:t xml:space="preserve">shall be </w:t>
      </w:r>
      <w:r w:rsidR="002213FF">
        <w:t>viewed within the broader context of activities, outputs, outcomes etc. as articulated within five short narratives. These shall address:</w:t>
      </w:r>
    </w:p>
    <w:p w14:paraId="014EA790" w14:textId="59691CDF" w:rsidR="00206761" w:rsidRDefault="00C44C75" w:rsidP="00484007">
      <w:pPr>
        <w:pStyle w:val="SubSubSection"/>
      </w:pPr>
      <w:r w:rsidRPr="00C44C75">
        <w:rPr>
          <w:b/>
        </w:rPr>
        <w:t>Goals, aspirations, and program</w:t>
      </w:r>
      <w:r w:rsidR="001334C9">
        <w:rPr>
          <w:b/>
        </w:rPr>
        <w:t>.</w:t>
      </w:r>
      <w:r w:rsidR="00570653">
        <w:t xml:space="preserve"> </w:t>
      </w:r>
      <w:r w:rsidR="001E5BFC">
        <w:t>Faculty will be asked to b</w:t>
      </w:r>
      <w:r w:rsidR="001E5BFC" w:rsidRPr="001E5BFC">
        <w:t xml:space="preserve">riefly describe the goals and aspirations that guide and drive </w:t>
      </w:r>
      <w:r w:rsidR="001E5BFC">
        <w:t>their</w:t>
      </w:r>
      <w:r w:rsidR="001E5BFC" w:rsidRPr="001E5BFC">
        <w:t xml:space="preserve"> work, and the integrated program of work </w:t>
      </w:r>
      <w:r w:rsidR="001E5BFC">
        <w:t>they</w:t>
      </w:r>
      <w:r w:rsidR="001E5BFC" w:rsidRPr="001E5BFC">
        <w:t xml:space="preserve"> are developing. </w:t>
      </w:r>
      <w:r w:rsidR="001E5BFC">
        <w:t>They will be asked to s</w:t>
      </w:r>
      <w:r w:rsidR="001E5BFC" w:rsidRPr="001E5BFC">
        <w:t xml:space="preserve">pecifically address how </w:t>
      </w:r>
      <w:r w:rsidR="001E5BFC">
        <w:t>their</w:t>
      </w:r>
      <w:r w:rsidR="001E5BFC" w:rsidRPr="001E5BFC">
        <w:t xml:space="preserve"> </w:t>
      </w:r>
      <w:r w:rsidR="001E5BFC" w:rsidRPr="001E5BFC">
        <w:lastRenderedPageBreak/>
        <w:t xml:space="preserve">research/scholarship/creative activities, teaching and instruction, and professional and public service (including engagement, communication, and translation) come together to support </w:t>
      </w:r>
      <w:r w:rsidR="001E5BFC">
        <w:t>their</w:t>
      </w:r>
      <w:r w:rsidR="001E5BFC" w:rsidRPr="001E5BFC">
        <w:t xml:space="preserve"> professional/academic goals and aspirations. </w:t>
      </w:r>
      <w:r w:rsidR="001E5BFC">
        <w:t>They should i</w:t>
      </w:r>
      <w:r w:rsidR="001E5BFC" w:rsidRPr="001E5BFC">
        <w:t xml:space="preserve">nclude how </w:t>
      </w:r>
      <w:r w:rsidR="001E5BFC">
        <w:t>their</w:t>
      </w:r>
      <w:r w:rsidR="001E5BFC" w:rsidRPr="001E5BFC">
        <w:t xml:space="preserve"> goals, aspirations and program support SFIS and ASU goals and aspirations. (</w:t>
      </w:r>
      <w:r w:rsidR="008B1039">
        <w:t>~</w:t>
      </w:r>
      <w:r w:rsidR="001E5BFC" w:rsidRPr="001E5BFC">
        <w:t>300 words)</w:t>
      </w:r>
    </w:p>
    <w:p w14:paraId="5D68AE18" w14:textId="30858070" w:rsidR="001E5BFC" w:rsidRPr="001E5BFC" w:rsidRDefault="00E1043E" w:rsidP="00484007">
      <w:pPr>
        <w:pStyle w:val="SubSubSection"/>
      </w:pPr>
      <w:r w:rsidRPr="0020087F">
        <w:rPr>
          <w:b/>
        </w:rPr>
        <w:t>Research, Scholarship, and/or Creative Activities</w:t>
      </w:r>
      <w:r w:rsidR="001334C9">
        <w:rPr>
          <w:b/>
        </w:rPr>
        <w:t>.</w:t>
      </w:r>
      <w:r>
        <w:rPr>
          <w:b/>
        </w:rPr>
        <w:t xml:space="preserve"> </w:t>
      </w:r>
      <w:r w:rsidR="001E5BFC">
        <w:t>Faculty will be asked to b</w:t>
      </w:r>
      <w:r w:rsidR="001E5BFC" w:rsidRPr="001E5BFC">
        <w:t xml:space="preserve">riefly describe the research, scholarship and/or creative activities </w:t>
      </w:r>
      <w:r w:rsidR="001E5BFC">
        <w:t>they</w:t>
      </w:r>
      <w:r w:rsidR="001E5BFC" w:rsidRPr="001E5BFC">
        <w:t xml:space="preserve"> consider to be significant over </w:t>
      </w:r>
      <w:r w:rsidR="001E5BFC">
        <w:t>the</w:t>
      </w:r>
      <w:r w:rsidR="001E5BFC" w:rsidRPr="001E5BFC">
        <w:t xml:space="preserve"> past year, within the context of </w:t>
      </w:r>
      <w:r w:rsidR="001E5BFC">
        <w:t>their</w:t>
      </w:r>
      <w:r w:rsidR="001E5BFC" w:rsidRPr="001E5BFC">
        <w:t xml:space="preserve"> traject</w:t>
      </w:r>
      <w:r w:rsidR="001E5BFC">
        <w:t>ory over the past three years. They should e</w:t>
      </w:r>
      <w:r w:rsidR="001E5BFC" w:rsidRPr="001E5BFC">
        <w:t xml:space="preserve">xplain, where appropriate, key highlights of </w:t>
      </w:r>
      <w:r w:rsidR="001E5BFC">
        <w:t>their</w:t>
      </w:r>
      <w:r w:rsidR="001E5BFC" w:rsidRPr="001E5BFC">
        <w:t xml:space="preserve"> activities, outputs, and impact. </w:t>
      </w:r>
      <w:r w:rsidR="001E5BFC">
        <w:t>They should a</w:t>
      </w:r>
      <w:r w:rsidR="001E5BFC" w:rsidRPr="001E5BFC">
        <w:t xml:space="preserve">rticulate the relevance and impact of </w:t>
      </w:r>
      <w:r w:rsidR="00B841D9">
        <w:t>their</w:t>
      </w:r>
      <w:r w:rsidR="001E5BFC" w:rsidRPr="001E5BFC">
        <w:t xml:space="preserve"> work within the context of </w:t>
      </w:r>
      <w:r w:rsidR="00B841D9">
        <w:t>their</w:t>
      </w:r>
      <w:r w:rsidR="001E5BFC" w:rsidRPr="001E5BFC">
        <w:t xml:space="preserve"> goals and aspirations, and </w:t>
      </w:r>
      <w:r w:rsidR="008A05D3">
        <w:t>their</w:t>
      </w:r>
      <w:r w:rsidR="001E5BFC" w:rsidRPr="001E5BFC">
        <w:t xml:space="preserve"> broader program of work. (</w:t>
      </w:r>
      <w:r w:rsidR="008B1039">
        <w:t>~</w:t>
      </w:r>
      <w:r w:rsidR="001E5BFC" w:rsidRPr="001E5BFC">
        <w:t>300 words)</w:t>
      </w:r>
    </w:p>
    <w:p w14:paraId="40162844" w14:textId="1C71BC37" w:rsidR="00B956D8" w:rsidRPr="00B956D8" w:rsidRDefault="001334C9" w:rsidP="00484007">
      <w:pPr>
        <w:pStyle w:val="SubSubSection"/>
      </w:pPr>
      <w:r>
        <w:rPr>
          <w:b/>
        </w:rPr>
        <w:t xml:space="preserve">Teaching and instruction. </w:t>
      </w:r>
      <w:r w:rsidR="00B956D8">
        <w:t>Faculty will be asked to b</w:t>
      </w:r>
      <w:r w:rsidR="00B956D8" w:rsidRPr="00B956D8">
        <w:t xml:space="preserve">riefly describe, where relevant, aspects of </w:t>
      </w:r>
      <w:r w:rsidR="00B956D8">
        <w:t>their</w:t>
      </w:r>
      <w:r w:rsidR="00B956D8" w:rsidRPr="00B956D8">
        <w:t xml:space="preserve"> teaching and instruction</w:t>
      </w:r>
      <w:r w:rsidR="00A73189">
        <w:t>—including student mentorship—</w:t>
      </w:r>
      <w:r w:rsidR="00B956D8" w:rsidRPr="00B956D8">
        <w:t xml:space="preserve">over </w:t>
      </w:r>
      <w:r w:rsidR="00B956D8">
        <w:t>the</w:t>
      </w:r>
      <w:r w:rsidR="00B956D8" w:rsidRPr="00B956D8">
        <w:t xml:space="preserve"> past year</w:t>
      </w:r>
      <w:r w:rsidR="00C530BA">
        <w:t>,</w:t>
      </w:r>
      <w:r w:rsidR="00B956D8" w:rsidRPr="00B956D8">
        <w:t xml:space="preserve"> which </w:t>
      </w:r>
      <w:r w:rsidR="00B956D8">
        <w:t>they</w:t>
      </w:r>
      <w:r w:rsidR="00B956D8" w:rsidRPr="00B956D8">
        <w:t xml:space="preserve"> consider to be significant, within the context of </w:t>
      </w:r>
      <w:r w:rsidR="00B956D8">
        <w:t>their</w:t>
      </w:r>
      <w:r w:rsidR="00B956D8" w:rsidRPr="00B956D8">
        <w:t xml:space="preserve"> traject</w:t>
      </w:r>
      <w:r w:rsidR="00B956D8">
        <w:t>ory over the past three years. They should p</w:t>
      </w:r>
      <w:r w:rsidR="00B956D8" w:rsidRPr="00B956D8">
        <w:t xml:space="preserve">rovide explanatory context where appropriate for </w:t>
      </w:r>
      <w:r w:rsidR="00B956D8">
        <w:t>their</w:t>
      </w:r>
      <w:r w:rsidR="00B956D8" w:rsidRPr="00B956D8">
        <w:t xml:space="preserve"> teaching and instruction activities and </w:t>
      </w:r>
      <w:r w:rsidR="00B956D8">
        <w:t>performance. They should a</w:t>
      </w:r>
      <w:r w:rsidR="00B956D8" w:rsidRPr="00B956D8">
        <w:t xml:space="preserve">rticulate the relevance and impact of </w:t>
      </w:r>
      <w:r w:rsidR="00B956D8">
        <w:t>their</w:t>
      </w:r>
      <w:r w:rsidR="00B956D8" w:rsidRPr="00B956D8">
        <w:t xml:space="preserve"> teaching and instruction within the context of </w:t>
      </w:r>
      <w:r w:rsidR="00B956D8">
        <w:t>their</w:t>
      </w:r>
      <w:r w:rsidR="00B956D8" w:rsidRPr="00B956D8">
        <w:t xml:space="preserve"> goals and aspirations, and </w:t>
      </w:r>
      <w:r w:rsidR="00B956D8">
        <w:t>their</w:t>
      </w:r>
      <w:r w:rsidR="00B956D8" w:rsidRPr="00B956D8">
        <w:t xml:space="preserve"> broader program of work. (</w:t>
      </w:r>
      <w:r w:rsidR="008B1039">
        <w:t>~</w:t>
      </w:r>
      <w:r w:rsidR="00B956D8" w:rsidRPr="00B956D8">
        <w:t>300 words)</w:t>
      </w:r>
    </w:p>
    <w:p w14:paraId="67BF440A" w14:textId="72A1EA08" w:rsidR="00A83845" w:rsidRPr="00E1043E" w:rsidRDefault="00A83845" w:rsidP="00484007">
      <w:pPr>
        <w:pStyle w:val="SubSubSection"/>
      </w:pPr>
      <w:r>
        <w:rPr>
          <w:b/>
        </w:rPr>
        <w:t xml:space="preserve">Professional </w:t>
      </w:r>
      <w:r w:rsidR="008B1039">
        <w:rPr>
          <w:b/>
        </w:rPr>
        <w:t xml:space="preserve">and public </w:t>
      </w:r>
      <w:r>
        <w:rPr>
          <w:b/>
        </w:rPr>
        <w:t xml:space="preserve">service. </w:t>
      </w:r>
      <w:r w:rsidR="004E2E2B">
        <w:t>Faculty will be asked to b</w:t>
      </w:r>
      <w:r w:rsidR="004E2E2B" w:rsidRPr="004E2E2B">
        <w:t xml:space="preserve">riefly describe, where appropriate, aspects of </w:t>
      </w:r>
      <w:r w:rsidR="004E2E2B">
        <w:t>their</w:t>
      </w:r>
      <w:r w:rsidR="004E2E2B" w:rsidRPr="004E2E2B">
        <w:t xml:space="preserve"> professional and public service over </w:t>
      </w:r>
      <w:r w:rsidR="004E2E2B">
        <w:t>the</w:t>
      </w:r>
      <w:r w:rsidR="004E2E2B" w:rsidRPr="004E2E2B">
        <w:t xml:space="preserve"> past year which </w:t>
      </w:r>
      <w:r w:rsidR="004E2E2B">
        <w:t>they</w:t>
      </w:r>
      <w:r w:rsidR="004E2E2B" w:rsidRPr="004E2E2B">
        <w:t xml:space="preserve"> consider to be significant, within the context of </w:t>
      </w:r>
      <w:r w:rsidR="004E2E2B">
        <w:t>their</w:t>
      </w:r>
      <w:r w:rsidR="004E2E2B" w:rsidRPr="004E2E2B">
        <w:t xml:space="preserve"> traject</w:t>
      </w:r>
      <w:r w:rsidR="004E2E2B">
        <w:t>ory over the past three years. They should i</w:t>
      </w:r>
      <w:r w:rsidR="004E2E2B" w:rsidRPr="004E2E2B">
        <w:t xml:space="preserve">nclude, where relevant, information on institutional service and service to </w:t>
      </w:r>
      <w:r w:rsidR="004E2E2B">
        <w:t>their</w:t>
      </w:r>
      <w:r w:rsidR="004E2E2B" w:rsidRPr="004E2E2B">
        <w:t xml:space="preserve"> broader professional community, as well as aspects of public service that include, but are not limited to, communication</w:t>
      </w:r>
      <w:r w:rsidR="004E2E2B">
        <w:t>, engagement, translation</w:t>
      </w:r>
      <w:r w:rsidR="00FE5F8D">
        <w:t>, and leadership</w:t>
      </w:r>
      <w:r w:rsidR="004E2E2B">
        <w:t>. They should h</w:t>
      </w:r>
      <w:r w:rsidR="004E2E2B" w:rsidRPr="004E2E2B">
        <w:t xml:space="preserve">ighlight achievements that illustrate the reach, impact, and significance of </w:t>
      </w:r>
      <w:r w:rsidR="004E2E2B">
        <w:t>their activities. They should a</w:t>
      </w:r>
      <w:r w:rsidR="004E2E2B" w:rsidRPr="004E2E2B">
        <w:t xml:space="preserve">rticulate the relevance and impact of </w:t>
      </w:r>
      <w:r w:rsidR="004E2E2B">
        <w:t>their</w:t>
      </w:r>
      <w:r w:rsidR="004E2E2B" w:rsidRPr="004E2E2B">
        <w:t xml:space="preserve"> professional and public service within the context of </w:t>
      </w:r>
      <w:r w:rsidR="004E2E2B">
        <w:t>their</w:t>
      </w:r>
      <w:r w:rsidR="004E2E2B" w:rsidRPr="004E2E2B">
        <w:t xml:space="preserve"> goals and aspirations, and </w:t>
      </w:r>
      <w:r w:rsidR="004E2E2B">
        <w:t>their</w:t>
      </w:r>
      <w:r w:rsidR="004E2E2B" w:rsidRPr="004E2E2B">
        <w:t xml:space="preserve"> broader program of work. (</w:t>
      </w:r>
      <w:r w:rsidR="008B1039">
        <w:t>~</w:t>
      </w:r>
      <w:r w:rsidR="004E2E2B" w:rsidRPr="004E2E2B">
        <w:t>300 words)</w:t>
      </w:r>
    </w:p>
    <w:p w14:paraId="03D75203" w14:textId="4EDBDDC5" w:rsidR="00DE5D13" w:rsidRPr="00DE5D13" w:rsidRDefault="00DE5D13" w:rsidP="00484007">
      <w:pPr>
        <w:pStyle w:val="SubSubSection"/>
      </w:pPr>
      <w:r>
        <w:rPr>
          <w:b/>
        </w:rPr>
        <w:t>Challenges and Opportunities</w:t>
      </w:r>
      <w:r w:rsidR="00BC4F4D">
        <w:rPr>
          <w:b/>
        </w:rPr>
        <w:t xml:space="preserve">. </w:t>
      </w:r>
      <w:r>
        <w:t>Faculty will be asked to b</w:t>
      </w:r>
      <w:r w:rsidRPr="00DE5D13">
        <w:t xml:space="preserve">riefly describe any significant challenges experienced the previous year, </w:t>
      </w:r>
      <w:r>
        <w:t>their</w:t>
      </w:r>
      <w:r w:rsidRPr="00DE5D13">
        <w:t xml:space="preserve"> goals and aspirations for the coming year, and approaches </w:t>
      </w:r>
      <w:r>
        <w:t>they</w:t>
      </w:r>
      <w:r w:rsidRPr="00DE5D13">
        <w:t xml:space="preserve"> will be taking to help ensure </w:t>
      </w:r>
      <w:r>
        <w:t>they achieve them. They should i</w:t>
      </w:r>
      <w:r w:rsidRPr="00DE5D13">
        <w:t xml:space="preserve">nclude, where relevant, how the school can help support </w:t>
      </w:r>
      <w:r>
        <w:t>them</w:t>
      </w:r>
      <w:r w:rsidRPr="00DE5D13">
        <w:t xml:space="preserve"> in this. (</w:t>
      </w:r>
      <w:r w:rsidR="008B1039">
        <w:t>~</w:t>
      </w:r>
      <w:r w:rsidRPr="00DE5D13">
        <w:t>300 words)</w:t>
      </w:r>
    </w:p>
    <w:p w14:paraId="77FAB9ED" w14:textId="0E6C63DA" w:rsidR="008369EF" w:rsidRDefault="008369EF" w:rsidP="00484007">
      <w:pPr>
        <w:pStyle w:val="Subsection"/>
      </w:pPr>
      <w:r>
        <w:t xml:space="preserve">Faculty performance shall be evaluated by a Peer Review Committee </w:t>
      </w:r>
      <w:r w:rsidRPr="0051659E">
        <w:t>consist</w:t>
      </w:r>
      <w:r>
        <w:t>ing</w:t>
      </w:r>
      <w:r w:rsidRPr="0051659E">
        <w:t xml:space="preserve"> of at least three senior faculty from the sch</w:t>
      </w:r>
      <w:r>
        <w:t>ool, and chaired by</w:t>
      </w:r>
      <w:r w:rsidRPr="0051659E">
        <w:t xml:space="preserve"> the Associate Director for Faculty. </w:t>
      </w:r>
      <w:r>
        <w:t>The committee</w:t>
      </w:r>
      <w:r w:rsidRPr="0051659E">
        <w:t xml:space="preserve"> </w:t>
      </w:r>
      <w:r>
        <w:t>shall</w:t>
      </w:r>
      <w:r w:rsidRPr="0051659E">
        <w:t xml:space="preserve"> be respo</w:t>
      </w:r>
      <w:r>
        <w:t xml:space="preserve">nsible for a) reviewing </w:t>
      </w:r>
      <w:r w:rsidRPr="0051659E">
        <w:t>self</w:t>
      </w:r>
      <w:r>
        <w:t>-assessments and performance within and across areas of evaluation, b) writing brief evaluation summaries</w:t>
      </w:r>
      <w:r w:rsidRPr="0051659E">
        <w:t xml:space="preserve"> based on the </w:t>
      </w:r>
      <w:r>
        <w:t>material supplied,</w:t>
      </w:r>
      <w:r w:rsidRPr="0051659E">
        <w:t xml:space="preserve"> </w:t>
      </w:r>
      <w:r>
        <w:t xml:space="preserve">and </w:t>
      </w:r>
      <w:r w:rsidRPr="0051659E">
        <w:t xml:space="preserve">c) providing the school Director with </w:t>
      </w:r>
      <w:r>
        <w:t xml:space="preserve">recommended </w:t>
      </w:r>
      <w:r w:rsidRPr="0051659E">
        <w:t>merit scores</w:t>
      </w:r>
      <w:r>
        <w:t xml:space="preserve"> within and across areas of evaluation</w:t>
      </w:r>
      <w:r w:rsidRPr="0051659E">
        <w:t>.</w:t>
      </w:r>
      <w:r>
        <w:t xml:space="preserve"> Final merit scores shall be discussed by the Associate Director for Faculty, the Deputy Director and the Director, with the final determination being made by the school Director.</w:t>
      </w:r>
    </w:p>
    <w:p w14:paraId="796FAFBF" w14:textId="77777777" w:rsidR="002970E7" w:rsidRDefault="002970E7" w:rsidP="00484007">
      <w:pPr>
        <w:pStyle w:val="Subsection"/>
      </w:pPr>
      <w:r>
        <w:lastRenderedPageBreak/>
        <w:t>Evaluation scores correspond to the following expectations:</w:t>
      </w:r>
    </w:p>
    <w:p w14:paraId="4CB631D7" w14:textId="59647DB4" w:rsidR="002970E7" w:rsidRDefault="002970E7" w:rsidP="00484007">
      <w:pPr>
        <w:pStyle w:val="SubSubSection"/>
      </w:pPr>
      <w:r w:rsidRPr="008369EF">
        <w:rPr>
          <w:b/>
        </w:rPr>
        <w:t>3: Substantially above expectations.</w:t>
      </w:r>
      <w:r>
        <w:t xml:space="preserve"> Faculty member is consistently performing at a level that substantially exceeds expectations, based on their area of expertise, rank, and agreed-on workload. </w:t>
      </w:r>
    </w:p>
    <w:p w14:paraId="04A2DDE6" w14:textId="0112CADF" w:rsidR="002970E7" w:rsidRDefault="002970E7" w:rsidP="00484007">
      <w:pPr>
        <w:pStyle w:val="SubSubSection"/>
      </w:pPr>
      <w:r w:rsidRPr="008369EF">
        <w:rPr>
          <w:b/>
        </w:rPr>
        <w:t>2: Meets expectations.</w:t>
      </w:r>
      <w:r>
        <w:t xml:space="preserve"> Faculty member is consistently performing at a level that meets expectations, based on their area of expertise, rank, and agreed-on workload.</w:t>
      </w:r>
    </w:p>
    <w:p w14:paraId="77277D65" w14:textId="48FD862F" w:rsidR="002970E7" w:rsidRDefault="002970E7" w:rsidP="00484007">
      <w:pPr>
        <w:pStyle w:val="SubSubSection"/>
      </w:pPr>
      <w:r w:rsidRPr="008369EF">
        <w:rPr>
          <w:b/>
        </w:rPr>
        <w:t>1: Does not meet expectations.</w:t>
      </w:r>
      <w:r>
        <w:t xml:space="preserve"> Faculty member is consistently performing below expectations, based on their area of expertise, rank, and agreed-on workload.</w:t>
      </w:r>
    </w:p>
    <w:p w14:paraId="364D566E" w14:textId="0EE901AB" w:rsidR="00B853DF" w:rsidRDefault="00B853DF" w:rsidP="00484007">
      <w:pPr>
        <w:pStyle w:val="Subsection"/>
      </w:pPr>
      <w:r>
        <w:t xml:space="preserve">In addition, in rare cases an evaluation score of 4 may be awarded </w:t>
      </w:r>
      <w:r w:rsidR="000D019D">
        <w:t>within the school</w:t>
      </w:r>
      <w:r w:rsidR="00CE5733">
        <w:t xml:space="preserve"> </w:t>
      </w:r>
      <w:r>
        <w:t xml:space="preserve">to denote exceptional </w:t>
      </w:r>
      <w:r w:rsidR="004C650F">
        <w:t xml:space="preserve">and/or sustained </w:t>
      </w:r>
      <w:r>
        <w:t xml:space="preserve">performance in a specific area. </w:t>
      </w:r>
      <w:r w:rsidR="00CE5733">
        <w:t>This will be taken into consideration when establishing merit increases</w:t>
      </w:r>
      <w:r>
        <w:t>.</w:t>
      </w:r>
    </w:p>
    <w:p w14:paraId="2C091528" w14:textId="2D32DA5C" w:rsidR="002970E7" w:rsidRDefault="002970E7" w:rsidP="00484007">
      <w:pPr>
        <w:pStyle w:val="Subsection"/>
      </w:pPr>
      <w:r>
        <w:t xml:space="preserve">Faculty will receive a brief summary in writing of their evaluation. There will be an opportunity to discuss the evaluation, together with their professional development, with the school’s Associate Director for Faculty. Faculty are also encouraged to work with formal and informal mentors on review their evaluation, and on their professional development strategy. </w:t>
      </w:r>
    </w:p>
    <w:p w14:paraId="76AAF547" w14:textId="2599A0A5" w:rsidR="00D05F08" w:rsidRDefault="00D05F08" w:rsidP="00484007">
      <w:pPr>
        <w:pStyle w:val="Subsection"/>
      </w:pPr>
      <w:r>
        <w:t>Faculty receiving an evaluation score of 1</w:t>
      </w:r>
      <w:r w:rsidR="004C650F">
        <w:t xml:space="preserve"> in any area</w:t>
      </w:r>
      <w:r>
        <w:t xml:space="preserve"> will be required to take corrective action as per section </w:t>
      </w:r>
      <w:r w:rsidR="00663D99">
        <w:t>10</w:t>
      </w:r>
      <w:r>
        <w:t xml:space="preserve"> below. </w:t>
      </w:r>
    </w:p>
    <w:p w14:paraId="2572090C" w14:textId="77777777" w:rsidR="00FE5F8D" w:rsidRDefault="00FE5F8D" w:rsidP="00484007">
      <w:pPr>
        <w:pStyle w:val="Subsection"/>
        <w:numPr>
          <w:ilvl w:val="0"/>
          <w:numId w:val="0"/>
        </w:numPr>
        <w:ind w:left="18"/>
      </w:pPr>
    </w:p>
    <w:p w14:paraId="2E374597" w14:textId="1B145259" w:rsidR="00FE5F8D" w:rsidRDefault="00FE5F8D" w:rsidP="00990A1E">
      <w:pPr>
        <w:pStyle w:val="Sections"/>
      </w:pPr>
      <w:r>
        <w:t>Categorization of activities, outputs</w:t>
      </w:r>
      <w:r w:rsidR="00131867">
        <w:t>,</w:t>
      </w:r>
      <w:r>
        <w:t xml:space="preserve"> and outcomes</w:t>
      </w:r>
    </w:p>
    <w:p w14:paraId="6B2E7005" w14:textId="235580A4" w:rsidR="00FE5F8D" w:rsidRDefault="00FE5F8D" w:rsidP="00484007">
      <w:pPr>
        <w:pStyle w:val="Subsection"/>
      </w:pPr>
      <w:r>
        <w:t xml:space="preserve">Given the diversity of the work of faculty within SFIS, together with a frequent blurring of the lines </w:t>
      </w:r>
      <w:r w:rsidR="004C650F">
        <w:t xml:space="preserve">among </w:t>
      </w:r>
      <w:r>
        <w:t>the three evaluation categories, there will be occasions where activities, outputs</w:t>
      </w:r>
      <w:r w:rsidR="004C650F">
        <w:t>,</w:t>
      </w:r>
      <w:r>
        <w:t xml:space="preserve"> etc.</w:t>
      </w:r>
      <w:r w:rsidR="004C650F">
        <w:t>,</w:t>
      </w:r>
      <w:r>
        <w:t xml:space="preserve"> do not fit neatly within one of the three evaluation categories. To prevent this </w:t>
      </w:r>
      <w:r w:rsidR="004C650F">
        <w:t xml:space="preserve">circumstance from </w:t>
      </w:r>
      <w:r>
        <w:t xml:space="preserve">adversely biasing evaluations, evaluations shall take into account where </w:t>
      </w:r>
      <w:r w:rsidR="00866B28">
        <w:t>activities, outputs and/or outcomes in one category inform performance in another.</w:t>
      </w:r>
      <w:r>
        <w:t xml:space="preserve"> </w:t>
      </w:r>
    </w:p>
    <w:p w14:paraId="45CD915D" w14:textId="2234E7A6" w:rsidR="00866B28" w:rsidRDefault="00866B28" w:rsidP="00484007">
      <w:pPr>
        <w:pStyle w:val="Subsection"/>
      </w:pPr>
      <w:r>
        <w:t xml:space="preserve">To aid in determining how best to categorize activities, outputs, and outcomes </w:t>
      </w:r>
      <w:r w:rsidR="004C650F">
        <w:t xml:space="preserve">that </w:t>
      </w:r>
      <w:r>
        <w:t>straddle multiple categories, the following framework is provided as a means to help assign activities</w:t>
      </w:r>
      <w:r w:rsidR="004C650F">
        <w:t>,</w:t>
      </w:r>
      <w:r>
        <w:t xml:space="preserve"> etc.</w:t>
      </w:r>
      <w:r w:rsidR="004C650F">
        <w:t>,</w:t>
      </w:r>
      <w:r>
        <w:t xml:space="preserve"> to the research, scholarship and/or creative activities category.</w:t>
      </w:r>
    </w:p>
    <w:p w14:paraId="792E8C5B" w14:textId="62A79D80" w:rsidR="00866B28" w:rsidRDefault="00866B28" w:rsidP="00484007">
      <w:pPr>
        <w:pStyle w:val="Subsection"/>
      </w:pPr>
      <w:r>
        <w:t>Research, scholarship and/or creative activities may be defined by what is produced through them (“products”), the processes involved in producing outputs/outcomes</w:t>
      </w:r>
      <w:r w:rsidR="00A746F2">
        <w:t>, and the degree to which they are critically reviewed by others</w:t>
      </w:r>
      <w:r>
        <w:t>.</w:t>
      </w:r>
    </w:p>
    <w:p w14:paraId="594B1624" w14:textId="25522E50" w:rsidR="00866B28" w:rsidRDefault="008A1209" w:rsidP="00484007">
      <w:pPr>
        <w:pStyle w:val="Subsection"/>
      </w:pPr>
      <w:r w:rsidRPr="008A1209">
        <w:rPr>
          <w:b/>
          <w:bCs/>
        </w:rPr>
        <w:t>Products:</w:t>
      </w:r>
      <w:r>
        <w:t xml:space="preserve"> </w:t>
      </w:r>
      <w:r w:rsidR="00866B28">
        <w:t xml:space="preserve">Relevant “products” </w:t>
      </w:r>
      <w:r w:rsidR="00131867">
        <w:t xml:space="preserve">may </w:t>
      </w:r>
      <w:r w:rsidR="00866B28">
        <w:t>include</w:t>
      </w:r>
      <w:r w:rsidR="004E3B83">
        <w:t xml:space="preserve"> but are not limited to</w:t>
      </w:r>
      <w:r w:rsidR="00866B28">
        <w:t>:</w:t>
      </w:r>
    </w:p>
    <w:p w14:paraId="19002927" w14:textId="0992FFF4" w:rsidR="00866B28" w:rsidRDefault="00866B28" w:rsidP="00484007">
      <w:pPr>
        <w:pStyle w:val="SubSubSection"/>
      </w:pPr>
      <w:r>
        <w:t>New knowledge</w:t>
      </w:r>
    </w:p>
    <w:p w14:paraId="1311221A" w14:textId="7EF338D8" w:rsidR="00866B28" w:rsidRDefault="00866B28" w:rsidP="00484007">
      <w:pPr>
        <w:pStyle w:val="SubSubSection"/>
      </w:pPr>
      <w:r>
        <w:t>New insights</w:t>
      </w:r>
    </w:p>
    <w:p w14:paraId="53D8A4C3" w14:textId="50262D19" w:rsidR="00A746F2" w:rsidRDefault="00A746F2" w:rsidP="00484007">
      <w:pPr>
        <w:pStyle w:val="SubSubSection"/>
      </w:pPr>
      <w:r>
        <w:t>New concepts</w:t>
      </w:r>
    </w:p>
    <w:p w14:paraId="667782C2" w14:textId="738E1B30" w:rsidR="00131867" w:rsidRDefault="00131867" w:rsidP="00484007">
      <w:pPr>
        <w:pStyle w:val="SubSubSection"/>
      </w:pPr>
      <w:r>
        <w:t>New understanding</w:t>
      </w:r>
    </w:p>
    <w:p w14:paraId="04EA619B" w14:textId="0F349C9D" w:rsidR="00866B28" w:rsidRDefault="00866B28" w:rsidP="00484007">
      <w:pPr>
        <w:pStyle w:val="SubSubSection"/>
      </w:pPr>
      <w:r>
        <w:t>New discoveries</w:t>
      </w:r>
    </w:p>
    <w:p w14:paraId="38A21BCD" w14:textId="77777777" w:rsidR="005B4060" w:rsidRDefault="00866B28" w:rsidP="00484007">
      <w:pPr>
        <w:pStyle w:val="SubSubSection"/>
      </w:pPr>
      <w:r>
        <w:lastRenderedPageBreak/>
        <w:t>New capabilities</w:t>
      </w:r>
    </w:p>
    <w:p w14:paraId="15B46160" w14:textId="77777777" w:rsidR="005B4060" w:rsidRDefault="005B4060" w:rsidP="00484007">
      <w:pPr>
        <w:pStyle w:val="SubSubSection"/>
      </w:pPr>
      <w:r>
        <w:t>New tools</w:t>
      </w:r>
    </w:p>
    <w:p w14:paraId="751EA989" w14:textId="77777777" w:rsidR="00E161E2" w:rsidRDefault="005B4060" w:rsidP="00484007">
      <w:pPr>
        <w:pStyle w:val="SubSubSection"/>
      </w:pPr>
      <w:r>
        <w:t>New processes</w:t>
      </w:r>
    </w:p>
    <w:p w14:paraId="63C21209" w14:textId="084B4C69" w:rsidR="00866B28" w:rsidRDefault="00E161E2" w:rsidP="00484007">
      <w:pPr>
        <w:pStyle w:val="SubSubSection"/>
      </w:pPr>
      <w:r>
        <w:t>New objects</w:t>
      </w:r>
    </w:p>
    <w:p w14:paraId="48632C1B" w14:textId="085DE52A" w:rsidR="00866B28" w:rsidRDefault="008A1209" w:rsidP="00484007">
      <w:pPr>
        <w:pStyle w:val="Subsection"/>
      </w:pPr>
      <w:r w:rsidRPr="008A1209">
        <w:rPr>
          <w:b/>
          <w:bCs/>
        </w:rPr>
        <w:t>Processes:</w:t>
      </w:r>
      <w:r>
        <w:t xml:space="preserve"> </w:t>
      </w:r>
      <w:r w:rsidR="00866B28">
        <w:t>Relevant processes include:</w:t>
      </w:r>
    </w:p>
    <w:p w14:paraId="4E7E9959" w14:textId="16FC8539" w:rsidR="00866B28" w:rsidRDefault="00866B28" w:rsidP="00484007">
      <w:pPr>
        <w:pStyle w:val="SubSubSection"/>
      </w:pPr>
      <w:r w:rsidRPr="00F86875">
        <w:rPr>
          <w:b/>
        </w:rPr>
        <w:t>Creativity:</w:t>
      </w:r>
      <w:r>
        <w:t xml:space="preserve"> </w:t>
      </w:r>
      <w:r w:rsidR="00B704B0">
        <w:t>Producing</w:t>
      </w:r>
      <w:r>
        <w:t xml:space="preserve"> </w:t>
      </w:r>
      <w:r w:rsidR="00B704B0">
        <w:t>original and unusual ideas; being imaginative; making something new</w:t>
      </w:r>
    </w:p>
    <w:p w14:paraId="2C10134B" w14:textId="5EB0B693" w:rsidR="00866B28" w:rsidRDefault="00866B28" w:rsidP="00484007">
      <w:pPr>
        <w:pStyle w:val="SubSubSection"/>
      </w:pPr>
      <w:r w:rsidRPr="00F86875">
        <w:rPr>
          <w:b/>
        </w:rPr>
        <w:t>Rigor</w:t>
      </w:r>
      <w:r w:rsidR="00B704B0" w:rsidRPr="00F86875">
        <w:rPr>
          <w:b/>
        </w:rPr>
        <w:t>:</w:t>
      </w:r>
      <w:r w:rsidR="00B704B0">
        <w:t xml:space="preserve"> Demonstrating critical thinking and disciplined evaluation of evidence and ideas</w:t>
      </w:r>
    </w:p>
    <w:p w14:paraId="13753AA7" w14:textId="66228595" w:rsidR="00866B28" w:rsidRDefault="00866B28" w:rsidP="00484007">
      <w:pPr>
        <w:pStyle w:val="SubSubSection"/>
      </w:pPr>
      <w:r w:rsidRPr="00F86875">
        <w:rPr>
          <w:b/>
        </w:rPr>
        <w:t>Methodology</w:t>
      </w:r>
      <w:r w:rsidR="00B704B0" w:rsidRPr="00F86875">
        <w:rPr>
          <w:b/>
        </w:rPr>
        <w:t>:</w:t>
      </w:r>
      <w:r w:rsidR="00B704B0">
        <w:t xml:space="preserve"> Establishing and/or following a clear, systematic, and robust process </w:t>
      </w:r>
    </w:p>
    <w:p w14:paraId="3D2C37BA" w14:textId="69B0DEE8" w:rsidR="00866B28" w:rsidRDefault="00866B28" w:rsidP="00484007">
      <w:pPr>
        <w:pStyle w:val="SubSubSection"/>
      </w:pPr>
      <w:r w:rsidRPr="00F86875">
        <w:rPr>
          <w:b/>
        </w:rPr>
        <w:t>Analysis</w:t>
      </w:r>
      <w:r w:rsidR="00B704B0" w:rsidRPr="00F86875">
        <w:rPr>
          <w:b/>
        </w:rPr>
        <w:t>:</w:t>
      </w:r>
      <w:r w:rsidR="00B704B0">
        <w:t xml:space="preserve"> Systematically developing “products” from data/information </w:t>
      </w:r>
    </w:p>
    <w:p w14:paraId="05D154F7" w14:textId="253390DC" w:rsidR="00866B28" w:rsidRDefault="008A1209" w:rsidP="008A1209">
      <w:pPr>
        <w:pStyle w:val="Subsection"/>
      </w:pPr>
      <w:r w:rsidRPr="008A1209">
        <w:rPr>
          <w:b/>
        </w:rPr>
        <w:t>Review:</w:t>
      </w:r>
      <w:r>
        <w:rPr>
          <w:bCs/>
        </w:rPr>
        <w:t xml:space="preserve"> </w:t>
      </w:r>
      <w:r w:rsidR="00866B28" w:rsidRPr="008A1209">
        <w:rPr>
          <w:bCs/>
        </w:rPr>
        <w:t>Review</w:t>
      </w:r>
      <w:r w:rsidR="00A746F2">
        <w:t xml:space="preserve"> involves processes whereby products are c</w:t>
      </w:r>
      <w:r w:rsidR="002B0255">
        <w:t>ritically e</w:t>
      </w:r>
      <w:r w:rsidR="00B704B0">
        <w:t>valuat</w:t>
      </w:r>
      <w:r w:rsidR="00A746F2">
        <w:t xml:space="preserve">ed </w:t>
      </w:r>
      <w:r w:rsidR="00967D12">
        <w:t xml:space="preserve">for scholarly/research/creative </w:t>
      </w:r>
      <w:r w:rsidR="0042119B">
        <w:t xml:space="preserve">novelty, </w:t>
      </w:r>
      <w:r w:rsidR="000D019D">
        <w:t xml:space="preserve">quality, </w:t>
      </w:r>
      <w:r w:rsidR="007B6A6D">
        <w:t>significance</w:t>
      </w:r>
      <w:r w:rsidR="000D019D">
        <w:t>,</w:t>
      </w:r>
      <w:r w:rsidR="00967D12">
        <w:t xml:space="preserve"> and value</w:t>
      </w:r>
      <w:r w:rsidR="002D543C">
        <w:t>,</w:t>
      </w:r>
      <w:r w:rsidR="00967D12">
        <w:t xml:space="preserve"> </w:t>
      </w:r>
      <w:r w:rsidR="00A746F2">
        <w:t>by relevant communities.</w:t>
      </w:r>
      <w:r w:rsidR="000D019D">
        <w:t xml:space="preserve"> </w:t>
      </w:r>
    </w:p>
    <w:p w14:paraId="263FB0CE" w14:textId="11B4A9D1" w:rsidR="00866B28" w:rsidRDefault="002B0255" w:rsidP="00484007">
      <w:pPr>
        <w:pStyle w:val="Subsection"/>
      </w:pPr>
      <w:r>
        <w:t>F</w:t>
      </w:r>
      <w:r w:rsidR="00866B28">
        <w:t xml:space="preserve">or the purpose of performance review and evaluation, activities </w:t>
      </w:r>
      <w:proofErr w:type="spellStart"/>
      <w:r w:rsidR="00866B28">
        <w:t>etc</w:t>
      </w:r>
      <w:proofErr w:type="spellEnd"/>
      <w:r w:rsidR="00866B28">
        <w:t xml:space="preserve">, which </w:t>
      </w:r>
      <w:r w:rsidR="00DC107E">
        <w:t>combine</w:t>
      </w:r>
      <w:r w:rsidR="000D282C">
        <w:t xml:space="preserve"> </w:t>
      </w:r>
      <w:r w:rsidR="00967D12">
        <w:t>a</w:t>
      </w:r>
      <w:r w:rsidR="00866B28">
        <w:t xml:space="preserve"> “product</w:t>
      </w:r>
      <w:r w:rsidR="000D019D">
        <w:t>,</w:t>
      </w:r>
      <w:r w:rsidR="00866B28">
        <w:t xml:space="preserve">” </w:t>
      </w:r>
      <w:r w:rsidR="00967D12">
        <w:t xml:space="preserve">one </w:t>
      </w:r>
      <w:r w:rsidR="000D019D">
        <w:t xml:space="preserve">or more </w:t>
      </w:r>
      <w:r w:rsidR="000D282C">
        <w:t>process</w:t>
      </w:r>
      <w:r w:rsidR="000D019D">
        <w:t>es</w:t>
      </w:r>
      <w:r w:rsidR="000D282C">
        <w:t>, and that satisfy critical review requirements</w:t>
      </w:r>
      <w:r w:rsidR="00866B28">
        <w:t xml:space="preserve">, </w:t>
      </w:r>
      <w:r>
        <w:t>may</w:t>
      </w:r>
      <w:r w:rsidR="00866B28">
        <w:t xml:space="preserve"> be considered as research, scholarship, and/or creative activities.</w:t>
      </w:r>
    </w:p>
    <w:p w14:paraId="1F00F1E2" w14:textId="77777777" w:rsidR="003A38A6" w:rsidRDefault="003A38A6" w:rsidP="00484007">
      <w:pPr>
        <w:pStyle w:val="Subsection"/>
        <w:numPr>
          <w:ilvl w:val="0"/>
          <w:numId w:val="0"/>
        </w:numPr>
        <w:ind w:left="18"/>
      </w:pPr>
    </w:p>
    <w:p w14:paraId="07CBC065" w14:textId="50C37CE0" w:rsidR="003A38A6" w:rsidRDefault="003A38A6" w:rsidP="00990A1E">
      <w:pPr>
        <w:pStyle w:val="Sections"/>
      </w:pPr>
      <w:r>
        <w:t>Assessment of student opinion on faculty performance</w:t>
      </w:r>
    </w:p>
    <w:p w14:paraId="41937385" w14:textId="32E800C0" w:rsidR="003A38A6" w:rsidRDefault="003A38A6" w:rsidP="00484007">
      <w:pPr>
        <w:pStyle w:val="Subsection"/>
      </w:pPr>
      <w:r>
        <w:t xml:space="preserve">The annual review process shall explicitly take into account student opinions on faculty performance, where applicable. This </w:t>
      </w:r>
      <w:r w:rsidR="00F93126">
        <w:t xml:space="preserve">process </w:t>
      </w:r>
      <w:r>
        <w:t>shall be based on the systematic use of anonymous course evaluations.</w:t>
      </w:r>
    </w:p>
    <w:p w14:paraId="16DF0017" w14:textId="7740043B" w:rsidR="003A38A6" w:rsidRDefault="003A38A6" w:rsidP="00484007">
      <w:pPr>
        <w:pStyle w:val="Subsection"/>
      </w:pPr>
      <w:r>
        <w:t xml:space="preserve">While it is recognized that student evaluations are subjective, may not always reflect teaching success, </w:t>
      </w:r>
      <w:r w:rsidR="00425711">
        <w:t xml:space="preserve">and are subject to </w:t>
      </w:r>
      <w:r w:rsidR="00F93126">
        <w:t xml:space="preserve">specific kinds of </w:t>
      </w:r>
      <w:r w:rsidR="00425711">
        <w:t xml:space="preserve">bias, </w:t>
      </w:r>
      <w:r>
        <w:t xml:space="preserve">they </w:t>
      </w:r>
      <w:r w:rsidR="00F93126">
        <w:t xml:space="preserve">may </w:t>
      </w:r>
      <w:r>
        <w:t xml:space="preserve">nevertheless provide an indicator of high or low teaching performance. Importantly, student evaluations can provide early warnings of areas where action </w:t>
      </w:r>
      <w:r w:rsidR="003F123F">
        <w:t xml:space="preserve">may be </w:t>
      </w:r>
      <w:r>
        <w:t>needed to</w:t>
      </w:r>
      <w:r w:rsidR="00F93126">
        <w:t xml:space="preserve"> change teaching assignments, refine teaching techniques, or</w:t>
      </w:r>
      <w:r>
        <w:t xml:space="preserve"> increase teaching proficiency </w:t>
      </w:r>
      <w:r w:rsidR="00F93126">
        <w:t xml:space="preserve">in service of student </w:t>
      </w:r>
      <w:r>
        <w:t>success.</w:t>
      </w:r>
      <w:r w:rsidR="00156773">
        <w:t xml:space="preserve"> </w:t>
      </w:r>
    </w:p>
    <w:p w14:paraId="47B01717" w14:textId="45B92FF1" w:rsidR="001D2BBC" w:rsidRDefault="001D2BBC" w:rsidP="00484007">
      <w:pPr>
        <w:pStyle w:val="Subsection"/>
      </w:pPr>
      <w:r>
        <w:t xml:space="preserve">As per </w:t>
      </w:r>
      <w:hyperlink r:id="rId13" w:history="1">
        <w:r w:rsidRPr="001D2BBC">
          <w:rPr>
            <w:rStyle w:val="Hyperlink"/>
          </w:rPr>
          <w:t>ACD 309-4</w:t>
        </w:r>
      </w:hyperlink>
      <w:r>
        <w:t>, “e</w:t>
      </w:r>
      <w:r w:rsidRPr="001D2BBC">
        <w:t>very instructor in every class every semester is required to provide the opportunity for registered students to submit an academic-unit-approved course evaluation. The administration procedure should assure students the ability to respond forthrightly and anonymousl</w:t>
      </w:r>
      <w:r>
        <w:t>y. Regardless of the mode (e.g.</w:t>
      </w:r>
      <w:r w:rsidR="00F93126">
        <w:t>,</w:t>
      </w:r>
      <w:r>
        <w:t xml:space="preserve"> </w:t>
      </w:r>
      <w:r w:rsidRPr="001D2BBC">
        <w:t>web-based, paper, etc.) in which the evaluation takes place, the evaluation must be distributed and collected by someone other than the instructor. The instructor must not see the results of the evaluation or its summary prior to su</w:t>
      </w:r>
      <w:r>
        <w:t>bmitting grades for the course.”</w:t>
      </w:r>
    </w:p>
    <w:p w14:paraId="74837429" w14:textId="0F80660A" w:rsidR="001D2BBC" w:rsidRDefault="001D2BBC" w:rsidP="00484007">
      <w:pPr>
        <w:pStyle w:val="Subsection"/>
      </w:pPr>
      <w:r>
        <w:t xml:space="preserve">Faculty shall be provided access to student evaluations as soon as possible </w:t>
      </w:r>
      <w:r w:rsidR="00F93126">
        <w:t>after their release to the school</w:t>
      </w:r>
      <w:r>
        <w:t>, enabling them to evaluate their teaching in response to them in a timely manner.</w:t>
      </w:r>
    </w:p>
    <w:p w14:paraId="6B00FA77" w14:textId="55560E6C" w:rsidR="001D2BBC" w:rsidRDefault="005F6A45" w:rsidP="00484007">
      <w:pPr>
        <w:pStyle w:val="Subsection"/>
      </w:pPr>
      <w:r>
        <w:lastRenderedPageBreak/>
        <w:t xml:space="preserve">In evaluating performance, </w:t>
      </w:r>
      <w:r w:rsidR="001A32BE">
        <w:t>particular</w:t>
      </w:r>
      <w:r>
        <w:t xml:space="preserve"> attention shall be paid to </w:t>
      </w:r>
      <w:r w:rsidR="007C0177">
        <w:t xml:space="preserve">responses to </w:t>
      </w:r>
      <w:r w:rsidR="00005CDC">
        <w:t>questions 8 – 14 within the standard ASU evaluation system</w:t>
      </w:r>
      <w:r w:rsidR="007C0177">
        <w:t>.</w:t>
      </w:r>
    </w:p>
    <w:p w14:paraId="087DC05D" w14:textId="18F24C70" w:rsidR="00005CDC" w:rsidRPr="00005CDC" w:rsidRDefault="00005CDC" w:rsidP="00484007">
      <w:pPr>
        <w:pStyle w:val="SubSubSection"/>
      </w:pPr>
      <w:r>
        <w:t xml:space="preserve">8. </w:t>
      </w:r>
      <w:r w:rsidRPr="00005CDC">
        <w:t xml:space="preserve">The instructor was knowledgeable about the topic. </w:t>
      </w:r>
      <w:r w:rsidRPr="00005CDC">
        <w:rPr>
          <w:rFonts w:ascii="MS Mincho" w:eastAsia="MS Mincho" w:hAnsi="MS Mincho" w:cs="MS Mincho"/>
        </w:rPr>
        <w:t> </w:t>
      </w:r>
    </w:p>
    <w:p w14:paraId="72898AD1" w14:textId="226B141F" w:rsidR="00005CDC" w:rsidRPr="00005CDC" w:rsidRDefault="00005CDC" w:rsidP="00484007">
      <w:pPr>
        <w:pStyle w:val="SubSubSection"/>
      </w:pPr>
      <w:r>
        <w:t xml:space="preserve">9. </w:t>
      </w:r>
      <w:r w:rsidRPr="00005CDC">
        <w:t xml:space="preserve">The instructor was prepared for class. </w:t>
      </w:r>
      <w:r w:rsidRPr="00005CDC">
        <w:rPr>
          <w:rFonts w:ascii="MS Mincho" w:eastAsia="MS Mincho" w:hAnsi="MS Mincho" w:cs="MS Mincho"/>
        </w:rPr>
        <w:t> </w:t>
      </w:r>
    </w:p>
    <w:p w14:paraId="277049EA" w14:textId="00EF9BEB" w:rsidR="00005CDC" w:rsidRPr="00005CDC" w:rsidRDefault="00005CDC" w:rsidP="00484007">
      <w:pPr>
        <w:pStyle w:val="SubSubSection"/>
      </w:pPr>
      <w:r>
        <w:t xml:space="preserve">10. </w:t>
      </w:r>
      <w:r w:rsidRPr="00005CDC">
        <w:t xml:space="preserve">The instructor seemed genuinely interested in the course material. </w:t>
      </w:r>
      <w:r w:rsidRPr="00005CDC">
        <w:rPr>
          <w:rFonts w:ascii="MS Mincho" w:eastAsia="MS Mincho" w:hAnsi="MS Mincho" w:cs="MS Mincho"/>
        </w:rPr>
        <w:t> </w:t>
      </w:r>
    </w:p>
    <w:p w14:paraId="78A39CAB" w14:textId="033D31C2" w:rsidR="00005CDC" w:rsidRPr="00005CDC" w:rsidRDefault="00005CDC" w:rsidP="00484007">
      <w:pPr>
        <w:pStyle w:val="SubSubSection"/>
      </w:pPr>
      <w:r>
        <w:t xml:space="preserve">11. </w:t>
      </w:r>
      <w:r w:rsidRPr="00005CDC">
        <w:t xml:space="preserve">The instructor encouraged students to express their own ideas and ask questions. </w:t>
      </w:r>
      <w:r w:rsidRPr="00005CDC">
        <w:rPr>
          <w:rFonts w:ascii="MS Mincho" w:eastAsia="MS Mincho" w:hAnsi="MS Mincho" w:cs="MS Mincho"/>
        </w:rPr>
        <w:t> </w:t>
      </w:r>
    </w:p>
    <w:p w14:paraId="1F66BB31" w14:textId="5DAA9979" w:rsidR="00005CDC" w:rsidRPr="00005CDC" w:rsidRDefault="00005CDC" w:rsidP="00484007">
      <w:pPr>
        <w:pStyle w:val="SubSubSection"/>
      </w:pPr>
      <w:r>
        <w:t xml:space="preserve">12. </w:t>
      </w:r>
      <w:r w:rsidRPr="00005CDC">
        <w:t xml:space="preserve">The instructor was respectful toward students. </w:t>
      </w:r>
      <w:r w:rsidRPr="00005CDC">
        <w:rPr>
          <w:rFonts w:ascii="MS Mincho" w:eastAsia="MS Mincho" w:hAnsi="MS Mincho" w:cs="MS Mincho"/>
        </w:rPr>
        <w:t> </w:t>
      </w:r>
    </w:p>
    <w:p w14:paraId="2DEB7748" w14:textId="74CE8C8F" w:rsidR="00005CDC" w:rsidRPr="00005CDC" w:rsidRDefault="00005CDC" w:rsidP="00484007">
      <w:pPr>
        <w:pStyle w:val="SubSubSection"/>
      </w:pPr>
      <w:r>
        <w:t xml:space="preserve">13. </w:t>
      </w:r>
      <w:r w:rsidRPr="00005CDC">
        <w:t xml:space="preserve">The instructor’s grading was fair, impartial, and clear. </w:t>
      </w:r>
      <w:r w:rsidRPr="00005CDC">
        <w:rPr>
          <w:rFonts w:ascii="MS Mincho" w:eastAsia="MS Mincho" w:hAnsi="MS Mincho" w:cs="MS Mincho"/>
        </w:rPr>
        <w:t> </w:t>
      </w:r>
    </w:p>
    <w:p w14:paraId="5DDE5F33" w14:textId="32F33420" w:rsidR="00005CDC" w:rsidRPr="00005CDC" w:rsidRDefault="00005CDC" w:rsidP="00484007">
      <w:pPr>
        <w:pStyle w:val="SubSubSection"/>
      </w:pPr>
      <w:r>
        <w:t xml:space="preserve">14. </w:t>
      </w:r>
      <w:r w:rsidRPr="00005CDC">
        <w:t xml:space="preserve">I received timely and helpful feedback on my work in this class. </w:t>
      </w:r>
      <w:r w:rsidRPr="00005CDC">
        <w:rPr>
          <w:rFonts w:ascii="MS Mincho" w:eastAsia="MS Mincho" w:hAnsi="MS Mincho" w:cs="MS Mincho"/>
        </w:rPr>
        <w:t> </w:t>
      </w:r>
    </w:p>
    <w:p w14:paraId="6E5C9176" w14:textId="15B1F983" w:rsidR="007C0177" w:rsidRDefault="007C0177" w:rsidP="00484007">
      <w:pPr>
        <w:pStyle w:val="Subsection"/>
      </w:pPr>
      <w:r>
        <w:t xml:space="preserve">Aggregated responses to these questions </w:t>
      </w:r>
      <w:r w:rsidR="001A32BE">
        <w:t>shall be</w:t>
      </w:r>
      <w:r>
        <w:t xml:space="preserve"> contextualized by factors</w:t>
      </w:r>
      <w:r w:rsidR="003636B5">
        <w:t xml:space="preserve"> that </w:t>
      </w:r>
      <w:r>
        <w:t>includ</w:t>
      </w:r>
      <w:r w:rsidR="003636B5">
        <w:t>e</w:t>
      </w:r>
      <w:r>
        <w:t xml:space="preserve"> class topic, level and size, and </w:t>
      </w:r>
      <w:r w:rsidR="003636B5">
        <w:t>other circumstances</w:t>
      </w:r>
      <w:r>
        <w:t xml:space="preserve"> that may have an </w:t>
      </w:r>
      <w:r w:rsidR="003636B5">
        <w:t xml:space="preserve">undue </w:t>
      </w:r>
      <w:r>
        <w:t xml:space="preserve">influence on </w:t>
      </w:r>
      <w:r w:rsidR="001A32BE">
        <w:t>them</w:t>
      </w:r>
      <w:r>
        <w:t xml:space="preserve">. </w:t>
      </w:r>
      <w:r w:rsidR="001A32BE">
        <w:t xml:space="preserve">In general, </w:t>
      </w:r>
      <w:r w:rsidR="004F1E50">
        <w:t>aggregated responses</w:t>
      </w:r>
      <w:r w:rsidR="001A32BE">
        <w:t xml:space="preserve"> shall be used as one </w:t>
      </w:r>
      <w:r w:rsidR="004F1E50">
        <w:t>of a number of indicators of teaching excellence that, together, form a more complete picture of teaching performance.</w:t>
      </w:r>
      <w:r w:rsidR="001A32BE">
        <w:t xml:space="preserve"> </w:t>
      </w:r>
      <w:r w:rsidR="003D348B">
        <w:t xml:space="preserve"> </w:t>
      </w:r>
      <w:r>
        <w:t xml:space="preserve">    </w:t>
      </w:r>
    </w:p>
    <w:p w14:paraId="178315C3" w14:textId="41DA68CE" w:rsidR="00005CDC" w:rsidRPr="001D2BBC" w:rsidRDefault="004F1E50" w:rsidP="00484007">
      <w:pPr>
        <w:pStyle w:val="Subsection"/>
      </w:pPr>
      <w:r>
        <w:t xml:space="preserve">Where a faculty member receives a teaching </w:t>
      </w:r>
      <w:r w:rsidR="00F85559">
        <w:t xml:space="preserve">valuation score of 3 or </w:t>
      </w:r>
      <w:r>
        <w:t>above</w:t>
      </w:r>
      <w:r w:rsidR="00F85559">
        <w:t xml:space="preserve"> </w:t>
      </w:r>
      <w:r w:rsidR="00C16ED5">
        <w:t xml:space="preserve">(or 3 or below for online courses) </w:t>
      </w:r>
      <w:r>
        <w:t>to</w:t>
      </w:r>
      <w:r w:rsidR="00F85559">
        <w:t xml:space="preserve"> </w:t>
      </w:r>
      <w:r w:rsidR="005F3F64">
        <w:t>any of these questions, careful attention shall be paid to whether this is a result of extenuating circumstances</w:t>
      </w:r>
      <w:r w:rsidR="00DA2FBE">
        <w:t>,</w:t>
      </w:r>
      <w:r w:rsidR="005F3F64">
        <w:t xml:space="preserve"> or </w:t>
      </w:r>
      <w:r w:rsidR="00DA2FBE">
        <w:t xml:space="preserve">an indicator of </w:t>
      </w:r>
      <w:r w:rsidR="005F3F64">
        <w:t>below-expectation teaching performance</w:t>
      </w:r>
      <w:r w:rsidR="00DA2FBE">
        <w:t>.</w:t>
      </w:r>
      <w:r w:rsidR="00F85559">
        <w:t xml:space="preserve"> </w:t>
      </w:r>
      <w:r w:rsidR="00A60259">
        <w:t>Consistent</w:t>
      </w:r>
      <w:r w:rsidR="00F85559">
        <w:t xml:space="preserve"> score</w:t>
      </w:r>
      <w:r w:rsidR="00A60259">
        <w:t>s</w:t>
      </w:r>
      <w:r w:rsidR="00F85559">
        <w:t xml:space="preserve"> </w:t>
      </w:r>
      <w:r w:rsidR="00C16ED5">
        <w:t>that raise concerns</w:t>
      </w:r>
      <w:r w:rsidR="00F85559">
        <w:t xml:space="preserve"> may result in an overall performance evaluation of 1 (does not meet expectations) </w:t>
      </w:r>
    </w:p>
    <w:p w14:paraId="7022F5A9" w14:textId="64D95865" w:rsidR="003A38A6" w:rsidRDefault="00F85559" w:rsidP="00484007">
      <w:pPr>
        <w:pStyle w:val="Subsection"/>
      </w:pPr>
      <w:r>
        <w:t xml:space="preserve">Where student course evaluations are consistently poor, faculty shall be expected to </w:t>
      </w:r>
      <w:r w:rsidR="00F5029C">
        <w:t xml:space="preserve">address this and, where appropriate, </w:t>
      </w:r>
      <w:r>
        <w:t xml:space="preserve">develop and </w:t>
      </w:r>
      <w:r w:rsidR="00A60259">
        <w:t xml:space="preserve">implement </w:t>
      </w:r>
      <w:r>
        <w:t>a professional development plan for teaching, in consultation with the school’s Associate Director for Programs.</w:t>
      </w:r>
    </w:p>
    <w:p w14:paraId="56FA7256" w14:textId="77777777" w:rsidR="002970E7" w:rsidRDefault="002970E7" w:rsidP="00484007">
      <w:pPr>
        <w:pStyle w:val="Subsection"/>
        <w:numPr>
          <w:ilvl w:val="0"/>
          <w:numId w:val="0"/>
        </w:numPr>
        <w:ind w:left="18"/>
      </w:pPr>
    </w:p>
    <w:p w14:paraId="4102786A" w14:textId="0808DC5C" w:rsidR="002970E7" w:rsidRDefault="002970E7" w:rsidP="00990A1E">
      <w:pPr>
        <w:pStyle w:val="Sections"/>
      </w:pPr>
      <w:r w:rsidRPr="007B69CB">
        <w:t>Review</w:t>
      </w:r>
      <w:r>
        <w:t xml:space="preserve"> Criteria</w:t>
      </w:r>
    </w:p>
    <w:p w14:paraId="09388EC3" w14:textId="573A329E" w:rsidR="00662BBF" w:rsidRDefault="002970E7" w:rsidP="00484007">
      <w:pPr>
        <w:pStyle w:val="Subsection"/>
      </w:pPr>
      <w:r>
        <w:t xml:space="preserve">Given the diversity of faculty tracks, ranks, disciplines, activities, and areas of expertise, within the school, there are few cut and dried criteria defining performance expectations. Rather, it is recognized that taking </w:t>
      </w:r>
      <w:r w:rsidR="00473B55">
        <w:t xml:space="preserve">a </w:t>
      </w:r>
      <w:r>
        <w:t xml:space="preserve">prescriptive approach to evaluation runs the risk of being counterproductive as it potentially disadvantages exemplary yet non-conventional achievements, and discourages creativity and innovation. Nevertheless, there are </w:t>
      </w:r>
      <w:r w:rsidR="004D743E">
        <w:t xml:space="preserve">three </w:t>
      </w:r>
      <w:r>
        <w:t xml:space="preserve">broad expectations </w:t>
      </w:r>
      <w:r w:rsidR="00662BBF">
        <w:t xml:space="preserve">that are used </w:t>
      </w:r>
      <w:r w:rsidR="00473B55">
        <w:t xml:space="preserve">within the school </w:t>
      </w:r>
      <w:r w:rsidR="00662BBF">
        <w:t>to inform faculty evaluations. These include:</w:t>
      </w:r>
    </w:p>
    <w:p w14:paraId="198F4A34" w14:textId="72F37A87" w:rsidR="004D743E" w:rsidRDefault="004D743E" w:rsidP="00484007">
      <w:pPr>
        <w:pStyle w:val="SubSubSection"/>
      </w:pPr>
      <w:r>
        <w:t xml:space="preserve">Evidence of excellence and impact that is commensurate with </w:t>
      </w:r>
      <w:r w:rsidR="00243181">
        <w:t xml:space="preserve">track, </w:t>
      </w:r>
      <w:r>
        <w:t>rank</w:t>
      </w:r>
      <w:r w:rsidR="00243181">
        <w:t>, area of exper</w:t>
      </w:r>
      <w:r w:rsidR="00337CBA">
        <w:t>t</w:t>
      </w:r>
      <w:r w:rsidR="00243181">
        <w:t>ise</w:t>
      </w:r>
      <w:r>
        <w:t xml:space="preserve">, </w:t>
      </w:r>
      <w:r w:rsidR="00500C90">
        <w:t xml:space="preserve">and agreed-on expectations, </w:t>
      </w:r>
      <w:r>
        <w:t xml:space="preserve">within </w:t>
      </w:r>
      <w:r w:rsidR="00A01652">
        <w:t xml:space="preserve">and across </w:t>
      </w:r>
      <w:r>
        <w:t>scholarship, research and/or creative activities; teaching and instruction (as appropriate); and professional and public service (as appropriate).</w:t>
      </w:r>
    </w:p>
    <w:p w14:paraId="291E5A86" w14:textId="01B08921" w:rsidR="004D743E" w:rsidRDefault="004D743E" w:rsidP="00484007">
      <w:pPr>
        <w:pStyle w:val="SubSubSection"/>
      </w:pPr>
      <w:r>
        <w:t>Evidence of excellence</w:t>
      </w:r>
      <w:r w:rsidR="00A01652">
        <w:t xml:space="preserve"> and</w:t>
      </w:r>
      <w:r>
        <w:t xml:space="preserve"> impact that is commensurate with </w:t>
      </w:r>
      <w:r w:rsidR="00243181">
        <w:t xml:space="preserve">track, rank, and area of </w:t>
      </w:r>
      <w:r w:rsidR="00500C90">
        <w:t>expertise, and agreed-on expectations</w:t>
      </w:r>
      <w:r>
        <w:t>, within and across a coherent and integrated program of work</w:t>
      </w:r>
      <w:r w:rsidR="008D383D">
        <w:t xml:space="preserve"> or scholarly enterprise</w:t>
      </w:r>
      <w:r>
        <w:t>.</w:t>
      </w:r>
    </w:p>
    <w:p w14:paraId="0C8391E9" w14:textId="27C305BE" w:rsidR="004D743E" w:rsidRDefault="004D743E" w:rsidP="00484007">
      <w:pPr>
        <w:pStyle w:val="SubSubSection"/>
      </w:pPr>
      <w:r>
        <w:lastRenderedPageBreak/>
        <w:t xml:space="preserve">Evidence of </w:t>
      </w:r>
      <w:r w:rsidR="008D383D">
        <w:t xml:space="preserve">significant </w:t>
      </w:r>
      <w:r>
        <w:t xml:space="preserve">alignment with the school’s mission and objectives, and the mission and aspirations of ASU. </w:t>
      </w:r>
    </w:p>
    <w:p w14:paraId="64CB1EDD" w14:textId="0D1E6AAC" w:rsidR="007B127A" w:rsidRDefault="007B127A" w:rsidP="00484007">
      <w:pPr>
        <w:pStyle w:val="Subsection"/>
      </w:pPr>
      <w:r>
        <w:t xml:space="preserve">Faculty evaluations shall specifically consider </w:t>
      </w:r>
      <w:r w:rsidR="00AE6D9D">
        <w:t xml:space="preserve">indicators of </w:t>
      </w:r>
      <w:r>
        <w:t>performance within the following areas</w:t>
      </w:r>
      <w:r w:rsidR="00730B54">
        <w:t xml:space="preserve"> as appropriate</w:t>
      </w:r>
      <w:r w:rsidR="00F86875">
        <w:t xml:space="preserve">, as per requirements for explicit above and below expectations indicators in </w:t>
      </w:r>
      <w:hyperlink r:id="rId14" w:history="1">
        <w:r w:rsidR="00F86875" w:rsidRPr="00F86875">
          <w:rPr>
            <w:rStyle w:val="Hyperlink"/>
          </w:rPr>
          <w:t>ACD 506-10</w:t>
        </w:r>
      </w:hyperlink>
      <w:r>
        <w:t>:</w:t>
      </w:r>
    </w:p>
    <w:p w14:paraId="383590D6" w14:textId="7A09331A" w:rsidR="007B69CB" w:rsidRPr="008A1209" w:rsidRDefault="007B69CB" w:rsidP="00484007">
      <w:pPr>
        <w:pStyle w:val="SubSubSection"/>
        <w:rPr>
          <w:b/>
          <w:bCs/>
        </w:rPr>
      </w:pPr>
      <w:r w:rsidRPr="008A1209">
        <w:rPr>
          <w:b/>
          <w:bCs/>
        </w:rPr>
        <w:t>Knowledge generation</w:t>
      </w:r>
      <w:r w:rsidR="000D26FC" w:rsidRPr="008A1209">
        <w:rPr>
          <w:b/>
          <w:bCs/>
        </w:rPr>
        <w:t>:</w:t>
      </w:r>
    </w:p>
    <w:p w14:paraId="145A5F3A" w14:textId="40C42ED2" w:rsidR="007B127A" w:rsidRDefault="007B69CB" w:rsidP="00484007">
      <w:pPr>
        <w:pStyle w:val="SubSubSection"/>
      </w:pPr>
      <w:r w:rsidRPr="007B69CB">
        <w:rPr>
          <w:b/>
        </w:rPr>
        <w:t>Above expectations:</w:t>
      </w:r>
      <w:r>
        <w:t xml:space="preserve"> Strong evidence, integrated across multiple areas of activity, for </w:t>
      </w:r>
      <w:r w:rsidR="00923694">
        <w:t>developing</w:t>
      </w:r>
      <w:r>
        <w:t xml:space="preserve"> </w:t>
      </w:r>
      <w:r w:rsidR="002E6DE6">
        <w:t xml:space="preserve">substantial </w:t>
      </w:r>
      <w:r>
        <w:t>new knowledge</w:t>
      </w:r>
      <w:r w:rsidR="002E6DE6">
        <w:t xml:space="preserve">, </w:t>
      </w:r>
      <w:r>
        <w:t>insights</w:t>
      </w:r>
      <w:r w:rsidR="008D383D">
        <w:t>,</w:t>
      </w:r>
      <w:r>
        <w:t xml:space="preserve"> </w:t>
      </w:r>
      <w:r w:rsidR="002E6DE6">
        <w:t>etc.</w:t>
      </w:r>
      <w:r w:rsidR="008D383D">
        <w:t>,</w:t>
      </w:r>
      <w:r w:rsidR="002E6DE6">
        <w:t xml:space="preserve"> as detailed in section </w:t>
      </w:r>
      <w:r w:rsidR="00F86875">
        <w:t>8</w:t>
      </w:r>
      <w:r w:rsidR="002E6DE6">
        <w:t xml:space="preserve">.4, </w:t>
      </w:r>
      <w:r w:rsidR="00C16663">
        <w:t>within an integrated program</w:t>
      </w:r>
      <w:r w:rsidR="008D383D">
        <w:t xml:space="preserve"> or scholarly enterprise, appropriate to rank,</w:t>
      </w:r>
      <w:r w:rsidR="00C16663">
        <w:t xml:space="preserve"> </w:t>
      </w:r>
      <w:r>
        <w:t xml:space="preserve">that has relevance and impact. </w:t>
      </w:r>
    </w:p>
    <w:p w14:paraId="1DA2B581" w14:textId="6B9B984E" w:rsidR="007B69CB" w:rsidRDefault="007B69CB" w:rsidP="00484007">
      <w:pPr>
        <w:pStyle w:val="SubSubSection"/>
      </w:pPr>
      <w:r w:rsidRPr="007B69CB">
        <w:rPr>
          <w:b/>
        </w:rPr>
        <w:t>Below expectations:</w:t>
      </w:r>
      <w:r>
        <w:t xml:space="preserve"> Marginal evidence for the </w:t>
      </w:r>
      <w:r w:rsidR="00923694">
        <w:t>development</w:t>
      </w:r>
      <w:r w:rsidR="00C16663">
        <w:t xml:space="preserve"> of new knowledge</w:t>
      </w:r>
      <w:r w:rsidR="002E6DE6">
        <w:t xml:space="preserve">, </w:t>
      </w:r>
      <w:r w:rsidR="00C16663">
        <w:t>insights</w:t>
      </w:r>
      <w:r w:rsidR="008D383D">
        <w:t>,</w:t>
      </w:r>
      <w:r w:rsidR="002E6DE6">
        <w:t xml:space="preserve"> etc</w:t>
      </w:r>
      <w:r w:rsidR="008D383D">
        <w:t>.</w:t>
      </w:r>
      <w:r w:rsidR="002E6DE6">
        <w:t xml:space="preserve">, (section </w:t>
      </w:r>
      <w:r w:rsidR="00F86875">
        <w:t>8</w:t>
      </w:r>
      <w:r w:rsidR="002E6DE6">
        <w:t>.4)</w:t>
      </w:r>
      <w:r>
        <w:t xml:space="preserve"> or activities which are anticipated to lead to the same</w:t>
      </w:r>
      <w:r w:rsidR="00C16663">
        <w:t xml:space="preserve">, or </w:t>
      </w:r>
      <w:r w:rsidR="008D383D">
        <w:t xml:space="preserve">lack of </w:t>
      </w:r>
      <w:r w:rsidR="00C16663">
        <w:t>a coherent program of work</w:t>
      </w:r>
      <w:r w:rsidR="008D383D">
        <w:t xml:space="preserve"> or scholarly enterprise, appropriate to rank,</w:t>
      </w:r>
      <w:r w:rsidR="00C16663">
        <w:t xml:space="preserve"> that supports knowledge generation</w:t>
      </w:r>
      <w:r>
        <w:t>.</w:t>
      </w:r>
    </w:p>
    <w:p w14:paraId="5158ECC9" w14:textId="5B7D95C0" w:rsidR="007B69CB" w:rsidRPr="008A1209" w:rsidRDefault="006E326A" w:rsidP="00484007">
      <w:pPr>
        <w:pStyle w:val="SubSubSection"/>
        <w:rPr>
          <w:b/>
          <w:bCs/>
        </w:rPr>
      </w:pPr>
      <w:r w:rsidRPr="008A1209">
        <w:rPr>
          <w:b/>
          <w:bCs/>
        </w:rPr>
        <w:t>Research, scholarship and/or creative outputs</w:t>
      </w:r>
      <w:r w:rsidR="000D26FC" w:rsidRPr="008A1209">
        <w:rPr>
          <w:b/>
          <w:bCs/>
        </w:rPr>
        <w:t>:</w:t>
      </w:r>
    </w:p>
    <w:p w14:paraId="50934A85" w14:textId="6C56F764" w:rsidR="006E326A" w:rsidRDefault="006E326A" w:rsidP="00484007">
      <w:pPr>
        <w:pStyle w:val="SubSubSection"/>
      </w:pPr>
      <w:r w:rsidRPr="00923694">
        <w:rPr>
          <w:b/>
        </w:rPr>
        <w:t>Above expectations:</w:t>
      </w:r>
      <w:r>
        <w:t xml:space="preserve"> Strong evidence, integrated across multiple areas of activity, for producing </w:t>
      </w:r>
      <w:r w:rsidR="00F00FEC">
        <w:t xml:space="preserve">substantial </w:t>
      </w:r>
      <w:r w:rsidR="00923694">
        <w:t xml:space="preserve">outputs of a </w:t>
      </w:r>
      <w:r w:rsidR="00F00FEC">
        <w:t xml:space="preserve">high </w:t>
      </w:r>
      <w:r w:rsidR="00923694">
        <w:t>q</w:t>
      </w:r>
      <w:r w:rsidR="008A062D">
        <w:t xml:space="preserve">uality, </w:t>
      </w:r>
      <w:r w:rsidR="00923694">
        <w:t>quantity</w:t>
      </w:r>
      <w:r w:rsidR="008A062D">
        <w:t>, and relevance</w:t>
      </w:r>
      <w:r>
        <w:t>.</w:t>
      </w:r>
    </w:p>
    <w:p w14:paraId="73B528BB" w14:textId="6C8962AB" w:rsidR="00923694" w:rsidRDefault="00923694" w:rsidP="00484007">
      <w:pPr>
        <w:pStyle w:val="SubSubSection"/>
      </w:pPr>
      <w:r w:rsidRPr="00923694">
        <w:rPr>
          <w:b/>
        </w:rPr>
        <w:t>Below expectations:</w:t>
      </w:r>
      <w:r>
        <w:t xml:space="preserve"> Zero or </w:t>
      </w:r>
      <w:r w:rsidR="0086202F">
        <w:t xml:space="preserve">few </w:t>
      </w:r>
      <w:r>
        <w:t>outputs, outputs of low quality</w:t>
      </w:r>
      <w:r w:rsidR="007A0D45">
        <w:t xml:space="preserve"> compared to norms and expectations, </w:t>
      </w:r>
      <w:r>
        <w:t xml:space="preserve">or a lack of activities which are expected to lead to the same.  </w:t>
      </w:r>
    </w:p>
    <w:p w14:paraId="310088DF" w14:textId="1BC131C8" w:rsidR="00923694" w:rsidRPr="008A1209" w:rsidRDefault="00923694" w:rsidP="00484007">
      <w:pPr>
        <w:pStyle w:val="SubSubSection"/>
        <w:rPr>
          <w:b/>
          <w:bCs/>
        </w:rPr>
      </w:pPr>
      <w:r w:rsidRPr="008A1209">
        <w:rPr>
          <w:b/>
          <w:bCs/>
        </w:rPr>
        <w:t>Teaching excellence</w:t>
      </w:r>
      <w:r w:rsidR="000D26FC" w:rsidRPr="008A1209">
        <w:rPr>
          <w:b/>
          <w:bCs/>
        </w:rPr>
        <w:t>:</w:t>
      </w:r>
    </w:p>
    <w:p w14:paraId="40E95AF3" w14:textId="04AF1D40" w:rsidR="00923694" w:rsidRDefault="00923694" w:rsidP="00484007">
      <w:pPr>
        <w:pStyle w:val="SubSubSection"/>
      </w:pPr>
      <w:r w:rsidRPr="00730B54">
        <w:rPr>
          <w:b/>
        </w:rPr>
        <w:t>Above expectations:</w:t>
      </w:r>
      <w:r>
        <w:t xml:space="preserve"> Strong evidence</w:t>
      </w:r>
      <w:r w:rsidR="00F00FEC">
        <w:t xml:space="preserve"> </w:t>
      </w:r>
      <w:r w:rsidR="00CC15CA">
        <w:t>of</w:t>
      </w:r>
      <w:r>
        <w:t xml:space="preserve"> highly effective and responsive teaching practices</w:t>
      </w:r>
      <w:r w:rsidR="00F00FEC">
        <w:t xml:space="preserve">, based where appropriate on student numeric evaluations (section </w:t>
      </w:r>
      <w:r w:rsidR="00F86875">
        <w:t>8</w:t>
      </w:r>
      <w:r w:rsidR="00F00FEC">
        <w:t>.5), peer evaluations, and other indicators of success.</w:t>
      </w:r>
    </w:p>
    <w:p w14:paraId="32730B5E" w14:textId="65135972" w:rsidR="00923694" w:rsidRDefault="00923694" w:rsidP="00484007">
      <w:pPr>
        <w:pStyle w:val="SubSubSection"/>
      </w:pPr>
      <w:r w:rsidRPr="00730B54">
        <w:rPr>
          <w:b/>
        </w:rPr>
        <w:t>Below expectations:</w:t>
      </w:r>
      <w:r>
        <w:t xml:space="preserve"> </w:t>
      </w:r>
      <w:r w:rsidR="00F00FEC">
        <w:t>Consistently p</w:t>
      </w:r>
      <w:r>
        <w:t xml:space="preserve">oor </w:t>
      </w:r>
      <w:r w:rsidR="00F00FEC">
        <w:t xml:space="preserve">numeric </w:t>
      </w:r>
      <w:r>
        <w:t xml:space="preserve">student evaluations (see section </w:t>
      </w:r>
      <w:r w:rsidR="00663D99">
        <w:t>7</w:t>
      </w:r>
      <w:r>
        <w:t>)</w:t>
      </w:r>
      <w:r w:rsidR="00F00FEC">
        <w:t xml:space="preserve"> and</w:t>
      </w:r>
      <w:r>
        <w:t xml:space="preserve"> peer evaluations that indicate substantial teaching deficiencies</w:t>
      </w:r>
      <w:r w:rsidR="00FF6A2E">
        <w:t>.</w:t>
      </w:r>
      <w:r>
        <w:t xml:space="preserve">   </w:t>
      </w:r>
    </w:p>
    <w:p w14:paraId="2440858A" w14:textId="3450C182" w:rsidR="00C16663" w:rsidRPr="008A1209" w:rsidRDefault="00C16663" w:rsidP="00484007">
      <w:pPr>
        <w:pStyle w:val="SubSubSection"/>
        <w:rPr>
          <w:b/>
          <w:bCs/>
        </w:rPr>
      </w:pPr>
      <w:r w:rsidRPr="008A1209">
        <w:rPr>
          <w:b/>
          <w:bCs/>
        </w:rPr>
        <w:t>Professional service</w:t>
      </w:r>
      <w:r w:rsidR="00372C67" w:rsidRPr="008A1209">
        <w:rPr>
          <w:b/>
          <w:bCs/>
        </w:rPr>
        <w:t>:</w:t>
      </w:r>
    </w:p>
    <w:p w14:paraId="743221A1" w14:textId="7B4AF455" w:rsidR="00C16663" w:rsidRDefault="00C16663" w:rsidP="00484007">
      <w:pPr>
        <w:pStyle w:val="SubSubSection"/>
      </w:pPr>
      <w:r>
        <w:t>Above expectations: Strong evidence</w:t>
      </w:r>
      <w:r w:rsidR="00C9240F">
        <w:t xml:space="preserve"> </w:t>
      </w:r>
      <w:r>
        <w:t xml:space="preserve">for </w:t>
      </w:r>
      <w:r w:rsidR="00C9240F">
        <w:t xml:space="preserve">substantial </w:t>
      </w:r>
      <w:r>
        <w:t>active, effective and sustained leadership in service to the school, university and/or professional communities</w:t>
      </w:r>
      <w:r w:rsidR="00C9240F">
        <w:t>.</w:t>
      </w:r>
    </w:p>
    <w:p w14:paraId="50B45900" w14:textId="70AD6AB3" w:rsidR="00C16663" w:rsidRDefault="00C16663" w:rsidP="00484007">
      <w:pPr>
        <w:pStyle w:val="SubSubSection"/>
      </w:pPr>
      <w:r>
        <w:t>Below expectations: Little or no institutional or professional service where this is expected of the faculty position, or poor quality/unresponsive service.</w:t>
      </w:r>
    </w:p>
    <w:p w14:paraId="47E341AC" w14:textId="0B11ACAC" w:rsidR="00C16663" w:rsidRPr="008A1209" w:rsidRDefault="00C16663" w:rsidP="00484007">
      <w:pPr>
        <w:pStyle w:val="SubSubSection"/>
        <w:rPr>
          <w:b/>
          <w:bCs/>
        </w:rPr>
      </w:pPr>
      <w:r w:rsidRPr="008A1209">
        <w:rPr>
          <w:b/>
          <w:bCs/>
        </w:rPr>
        <w:t>Public service</w:t>
      </w:r>
      <w:r w:rsidR="00372C67" w:rsidRPr="008A1209">
        <w:rPr>
          <w:b/>
          <w:bCs/>
        </w:rPr>
        <w:t>:</w:t>
      </w:r>
    </w:p>
    <w:p w14:paraId="7AE45EA4" w14:textId="768111C1" w:rsidR="00C16663" w:rsidRDefault="00C16663" w:rsidP="00484007">
      <w:pPr>
        <w:pStyle w:val="SubSubSection"/>
      </w:pPr>
      <w:r w:rsidRPr="00C16663">
        <w:rPr>
          <w:b/>
        </w:rPr>
        <w:t>Above expectations:</w:t>
      </w:r>
      <w:r>
        <w:t xml:space="preserve"> Strong evidence for </w:t>
      </w:r>
      <w:r w:rsidR="00C9240F">
        <w:t xml:space="preserve">substantial </w:t>
      </w:r>
      <w:r>
        <w:t xml:space="preserve">communication and engagement with, </w:t>
      </w:r>
      <w:r w:rsidR="00C9240F">
        <w:t xml:space="preserve">leadership within, </w:t>
      </w:r>
      <w:r>
        <w:t xml:space="preserve">translation of knowledge and insights for, </w:t>
      </w:r>
      <w:r w:rsidR="00372C67">
        <w:t xml:space="preserve">and/or other forms of extension-based activities geared toward, </w:t>
      </w:r>
      <w:r>
        <w:t xml:space="preserve">non-academic audiences, which </w:t>
      </w:r>
      <w:r w:rsidR="00372C67">
        <w:t xml:space="preserve">are </w:t>
      </w:r>
      <w:r>
        <w:t>responsive, impactful, and which exceeds that which is considered the norm for similar faculty.</w:t>
      </w:r>
    </w:p>
    <w:p w14:paraId="3B70F2CE" w14:textId="341CE2BF" w:rsidR="00C16663" w:rsidRDefault="00C16663" w:rsidP="00484007">
      <w:pPr>
        <w:pStyle w:val="SubSubSection"/>
      </w:pPr>
      <w:r w:rsidRPr="00C16663">
        <w:rPr>
          <w:b/>
        </w:rPr>
        <w:lastRenderedPageBreak/>
        <w:t>Below expectations:</w:t>
      </w:r>
      <w:r>
        <w:t xml:space="preserve"> Little or no evidence for </w:t>
      </w:r>
      <w:r w:rsidR="009109DF">
        <w:t>communication and engagement with, leadership within, translation of knowledge and insights for, and/or other forms of extension-based activities geared toward, non-academic audiences</w:t>
      </w:r>
      <w:r>
        <w:t xml:space="preserve">   </w:t>
      </w:r>
    </w:p>
    <w:p w14:paraId="610140EE" w14:textId="4A17E438" w:rsidR="002970E7" w:rsidRDefault="00505A4F" w:rsidP="00484007">
      <w:pPr>
        <w:pStyle w:val="Subsection"/>
      </w:pPr>
      <w:r>
        <w:t xml:space="preserve">Specific </w:t>
      </w:r>
      <w:r w:rsidR="009109DF">
        <w:t xml:space="preserve">factors </w:t>
      </w:r>
      <w:r w:rsidR="00A676DA">
        <w:t xml:space="preserve">that </w:t>
      </w:r>
      <w:r>
        <w:t xml:space="preserve">may be used to support </w:t>
      </w:r>
      <w:r w:rsidR="00CA3E03">
        <w:t xml:space="preserve">these </w:t>
      </w:r>
      <w:r>
        <w:t xml:space="preserve">faculty evaluations </w:t>
      </w:r>
      <w:r w:rsidR="00425BEE">
        <w:t xml:space="preserve">may </w:t>
      </w:r>
      <w:r>
        <w:t>include, but are not limited to</w:t>
      </w:r>
      <w:r w:rsidR="00C530BA">
        <w:t>, those listed in sections 8.4 – 8.6 below</w:t>
      </w:r>
      <w:r>
        <w:t>:</w:t>
      </w:r>
    </w:p>
    <w:p w14:paraId="1EF60094" w14:textId="6971A2DD" w:rsidR="00505A4F" w:rsidRPr="00C530BA" w:rsidRDefault="00505A4F" w:rsidP="00C530BA">
      <w:pPr>
        <w:pStyle w:val="Subsection"/>
        <w:rPr>
          <w:b/>
          <w:bCs/>
        </w:rPr>
      </w:pPr>
      <w:r w:rsidRPr="00C530BA">
        <w:rPr>
          <w:b/>
          <w:bCs/>
        </w:rPr>
        <w:t>Research, Scholarship, and/or Creative Activities</w:t>
      </w:r>
      <w:r w:rsidR="007B69CB" w:rsidRPr="00C530BA">
        <w:rPr>
          <w:b/>
          <w:bCs/>
        </w:rPr>
        <w:t>:</w:t>
      </w:r>
    </w:p>
    <w:p w14:paraId="5E80E789" w14:textId="1E507C99" w:rsidR="00505A4F" w:rsidRDefault="00505A4F" w:rsidP="00C530BA">
      <w:pPr>
        <w:pStyle w:val="SubSubSection"/>
      </w:pPr>
      <w:r>
        <w:t>P</w:t>
      </w:r>
      <w:r w:rsidRPr="0081347F">
        <w:t>eer reviewed pu</w:t>
      </w:r>
      <w:r>
        <w:t xml:space="preserve">blications in </w:t>
      </w:r>
      <w:r w:rsidR="00617AAD">
        <w:t xml:space="preserve">appropriate </w:t>
      </w:r>
      <w:r>
        <w:t xml:space="preserve">journals. Expectations around publication numbers will vary </w:t>
      </w:r>
      <w:r w:rsidR="007F0F1E">
        <w:t>across</w:t>
      </w:r>
      <w:r w:rsidR="00A676DA">
        <w:t xml:space="preserve"> </w:t>
      </w:r>
      <w:r w:rsidR="007D503C">
        <w:t xml:space="preserve">areas of expertise </w:t>
      </w:r>
      <w:r>
        <w:t xml:space="preserve">and whether faculty are focused on research, scholarship, or creative activities. </w:t>
      </w:r>
    </w:p>
    <w:p w14:paraId="1583B6B1" w14:textId="01B19B70" w:rsidR="008237D8" w:rsidRDefault="00D2163D" w:rsidP="00484007">
      <w:pPr>
        <w:pStyle w:val="SubSubSection"/>
      </w:pPr>
      <w:r>
        <w:t xml:space="preserve">Scholarly </w:t>
      </w:r>
      <w:r w:rsidR="0080635E">
        <w:t>b</w:t>
      </w:r>
      <w:r w:rsidR="00505A4F">
        <w:t>ooks</w:t>
      </w:r>
      <w:r w:rsidR="008237D8">
        <w:t xml:space="preserve"> and </w:t>
      </w:r>
      <w:r w:rsidR="00505A4F">
        <w:t>monographs</w:t>
      </w:r>
    </w:p>
    <w:p w14:paraId="123F4E56" w14:textId="6F466E17" w:rsidR="00505A4F" w:rsidRDefault="008237D8" w:rsidP="00484007">
      <w:pPr>
        <w:pStyle w:val="SubSubSection"/>
      </w:pPr>
      <w:r>
        <w:t>B</w:t>
      </w:r>
      <w:r w:rsidR="00505A4F">
        <w:t xml:space="preserve">ook chapters. </w:t>
      </w:r>
    </w:p>
    <w:p w14:paraId="45AD284F" w14:textId="4C0027CD" w:rsidR="00505A4F" w:rsidRDefault="00505A4F" w:rsidP="00484007">
      <w:pPr>
        <w:pStyle w:val="SubSubSection"/>
      </w:pPr>
      <w:r>
        <w:t>Authoritative non peer-reviewed commentary.</w:t>
      </w:r>
    </w:p>
    <w:p w14:paraId="3D03B7FE" w14:textId="40BB6CD3" w:rsidR="00004251" w:rsidRDefault="00004251" w:rsidP="00484007">
      <w:pPr>
        <w:pStyle w:val="SubSubSection"/>
      </w:pPr>
      <w:r>
        <w:t>Invited commentary.</w:t>
      </w:r>
    </w:p>
    <w:p w14:paraId="21ACEB5F" w14:textId="6B460D3A" w:rsidR="00505A4F" w:rsidRDefault="00505A4F" w:rsidP="00484007">
      <w:pPr>
        <w:pStyle w:val="SubSubSection"/>
      </w:pPr>
      <w:r>
        <w:t>C</w:t>
      </w:r>
      <w:r w:rsidRPr="0081347F">
        <w:t xml:space="preserve">itations, </w:t>
      </w:r>
      <w:r>
        <w:t xml:space="preserve">and citation metrics such as the H-index </w:t>
      </w:r>
      <w:r w:rsidR="00ED75ED">
        <w:t xml:space="preserve">and i10 index </w:t>
      </w:r>
      <w:r>
        <w:t>(recognizing that these need to be contextualized).</w:t>
      </w:r>
    </w:p>
    <w:p w14:paraId="01CE62D9" w14:textId="7BFA6C27" w:rsidR="00505A4F" w:rsidRDefault="00505A4F" w:rsidP="00484007">
      <w:pPr>
        <w:pStyle w:val="SubSubSection"/>
      </w:pPr>
      <w:r>
        <w:t>Fine</w:t>
      </w:r>
      <w:r w:rsidR="008F59CD">
        <w:t>/</w:t>
      </w:r>
      <w:r>
        <w:t>performing arts outputs, and other forms of substantial creative outputs</w:t>
      </w:r>
      <w:r w:rsidR="008237D8">
        <w:t xml:space="preserve"> that are </w:t>
      </w:r>
      <w:r w:rsidR="00451748">
        <w:t>evaluated/juried</w:t>
      </w:r>
      <w:r w:rsidR="008237D8">
        <w:t xml:space="preserve"> in some manner</w:t>
      </w:r>
      <w:r w:rsidR="00D3340C">
        <w:t>.</w:t>
      </w:r>
    </w:p>
    <w:p w14:paraId="65B2CF4F" w14:textId="52784191" w:rsidR="00505A4F" w:rsidRDefault="00505A4F" w:rsidP="00484007">
      <w:pPr>
        <w:pStyle w:val="SubSubSection"/>
      </w:pPr>
      <w:r>
        <w:t>Videos</w:t>
      </w:r>
      <w:r w:rsidR="00EE5A2D">
        <w:t>, podcasts,</w:t>
      </w:r>
      <w:r>
        <w:t xml:space="preserve"> </w:t>
      </w:r>
      <w:r w:rsidR="00C530BA">
        <w:t xml:space="preserve">creative products, </w:t>
      </w:r>
      <w:r>
        <w:t xml:space="preserve">and games, where they reflect </w:t>
      </w:r>
      <w:r w:rsidR="00C530BA">
        <w:t>input to and/or</w:t>
      </w:r>
      <w:r>
        <w:t xml:space="preserve"> </w:t>
      </w:r>
      <w:r w:rsidR="00956CB8">
        <w:t>outputs/</w:t>
      </w:r>
      <w:r>
        <w:t xml:space="preserve">outcomes of research, scholarship and/or creative activities.  </w:t>
      </w:r>
    </w:p>
    <w:p w14:paraId="17C7F78D" w14:textId="08F05041" w:rsidR="00505A4F" w:rsidRDefault="00D3340C" w:rsidP="00484007">
      <w:pPr>
        <w:pStyle w:val="SubSubSection"/>
      </w:pPr>
      <w:r>
        <w:t>S</w:t>
      </w:r>
      <w:r w:rsidR="00505A4F">
        <w:t xml:space="preserve">ubmitted </w:t>
      </w:r>
      <w:r w:rsidR="003B045D">
        <w:t xml:space="preserve">research/funding </w:t>
      </w:r>
      <w:r w:rsidR="00505A4F">
        <w:t>proposals.</w:t>
      </w:r>
    </w:p>
    <w:p w14:paraId="6D708B46" w14:textId="65718FE6" w:rsidR="00505A4F" w:rsidRDefault="00505A4F" w:rsidP="00484007">
      <w:pPr>
        <w:pStyle w:val="SubSubSection"/>
      </w:pPr>
      <w:r>
        <w:t xml:space="preserve">Research awards. </w:t>
      </w:r>
    </w:p>
    <w:p w14:paraId="119BFF55" w14:textId="3059CBA1" w:rsidR="00505A4F" w:rsidRDefault="00505A4F" w:rsidP="00484007">
      <w:pPr>
        <w:pStyle w:val="SubSubSection"/>
      </w:pPr>
      <w:r>
        <w:t xml:space="preserve">Evidence of collaboration and knowledge co-creation. </w:t>
      </w:r>
    </w:p>
    <w:p w14:paraId="289F1FF2" w14:textId="50AA5181" w:rsidR="00505A4F" w:rsidRDefault="00505A4F" w:rsidP="00484007">
      <w:pPr>
        <w:pStyle w:val="SubSubSection"/>
      </w:pPr>
      <w:r>
        <w:t>Patents</w:t>
      </w:r>
      <w:r w:rsidR="003B045D">
        <w:t xml:space="preserve"> and other indicators of uniquely created intellectual property</w:t>
      </w:r>
      <w:r w:rsidR="00D3340C">
        <w:t>.</w:t>
      </w:r>
    </w:p>
    <w:p w14:paraId="44C2A78C" w14:textId="6EE3A433" w:rsidR="00004251" w:rsidRDefault="003B43E1" w:rsidP="00484007">
      <w:pPr>
        <w:pStyle w:val="SubSubSection"/>
      </w:pPr>
      <w:r>
        <w:t>T</w:t>
      </w:r>
      <w:r w:rsidR="00004251">
        <w:t>alks and presentations.</w:t>
      </w:r>
    </w:p>
    <w:p w14:paraId="7B994600" w14:textId="63BBE7B5" w:rsidR="00505A4F" w:rsidRDefault="007B69CB" w:rsidP="00484007">
      <w:pPr>
        <w:pStyle w:val="SubSubSection"/>
      </w:pPr>
      <w:r>
        <w:t>Evidence of i</w:t>
      </w:r>
      <w:r w:rsidR="00505A4F" w:rsidRPr="0081347F">
        <w:t>ntellectual</w:t>
      </w:r>
      <w:r w:rsidR="00004251">
        <w:t>-</w:t>
      </w:r>
      <w:r w:rsidR="00505A4F" w:rsidRPr="0081347F">
        <w:t xml:space="preserve"> </w:t>
      </w:r>
      <w:r>
        <w:t>and thought-</w:t>
      </w:r>
      <w:r w:rsidR="00505A4F" w:rsidRPr="0081347F">
        <w:t>leadership</w:t>
      </w:r>
      <w:r w:rsidR="00004251">
        <w:t xml:space="preserve"> in research, scholarship, and/or creative activities, including community engagement, citizen science, and informal education.</w:t>
      </w:r>
    </w:p>
    <w:p w14:paraId="58F31ADA" w14:textId="4B594D0E" w:rsidR="008F59CD" w:rsidRDefault="00EE5A2D" w:rsidP="00484007">
      <w:pPr>
        <w:pStyle w:val="SubSubSection"/>
      </w:pPr>
      <w:r>
        <w:t>O</w:t>
      </w:r>
      <w:r w:rsidR="008F59CD">
        <w:t xml:space="preserve">utputs </w:t>
      </w:r>
      <w:r>
        <w:t xml:space="preserve">from professional organizations </w:t>
      </w:r>
      <w:r w:rsidR="008F59CD">
        <w:t xml:space="preserve">such as reports, </w:t>
      </w:r>
      <w:r w:rsidR="00D3340C">
        <w:t xml:space="preserve">articles, </w:t>
      </w:r>
      <w:r w:rsidR="00563A35">
        <w:t xml:space="preserve">and other </w:t>
      </w:r>
      <w:r w:rsidR="00D3340C">
        <w:t xml:space="preserve">forms of </w:t>
      </w:r>
      <w:r w:rsidR="00563A35">
        <w:t>gray literature</w:t>
      </w:r>
      <w:r w:rsidR="00D3340C">
        <w:t>.</w:t>
      </w:r>
    </w:p>
    <w:p w14:paraId="0159FE3B" w14:textId="2AFB8BA8" w:rsidR="008F59CD" w:rsidRDefault="00004251" w:rsidP="00484007">
      <w:pPr>
        <w:pStyle w:val="SubSubSection"/>
      </w:pPr>
      <w:r>
        <w:t>Outputs and outcomes associated with</w:t>
      </w:r>
      <w:r w:rsidR="008F59CD">
        <w:t xml:space="preserve"> leadership in major engagement and translation initiatives</w:t>
      </w:r>
      <w:r w:rsidR="00EE5A2D">
        <w:t xml:space="preserve"> with a research/scholarly/creative dimension</w:t>
      </w:r>
      <w:r w:rsidR="008F59CD">
        <w:t>.</w:t>
      </w:r>
    </w:p>
    <w:p w14:paraId="27F7DD72" w14:textId="526D68CC" w:rsidR="008F59CD" w:rsidRDefault="00004251" w:rsidP="00484007">
      <w:pPr>
        <w:pStyle w:val="SubSubSection"/>
      </w:pPr>
      <w:r>
        <w:t>Outputs and outcomes associated with i</w:t>
      </w:r>
      <w:r w:rsidR="00EE5A2D">
        <w:t>ntellectual</w:t>
      </w:r>
      <w:r w:rsidR="008F59CD">
        <w:t xml:space="preserve"> leadership in public engagement and communication events and initiatives. </w:t>
      </w:r>
    </w:p>
    <w:p w14:paraId="6AF735DA" w14:textId="34C52F23" w:rsidR="008F59CD" w:rsidRDefault="008F59CD" w:rsidP="00484007">
      <w:pPr>
        <w:pStyle w:val="SubSubSection"/>
      </w:pPr>
      <w:r>
        <w:t xml:space="preserve">Development and </w:t>
      </w:r>
      <w:r w:rsidR="00EE5A2D">
        <w:t>implementation of</w:t>
      </w:r>
      <w:r>
        <w:t xml:space="preserve"> informal education initiatives</w:t>
      </w:r>
      <w:r w:rsidR="00004251">
        <w:t xml:space="preserve"> where there is a clear research/scholarly/creative </w:t>
      </w:r>
      <w:r w:rsidR="00E43BC7">
        <w:t>aspect to the work</w:t>
      </w:r>
      <w:r>
        <w:t xml:space="preserve">. </w:t>
      </w:r>
    </w:p>
    <w:p w14:paraId="6AD9BC59" w14:textId="3BE47E4A" w:rsidR="00FB512A" w:rsidRDefault="00E43BC7" w:rsidP="00484007">
      <w:pPr>
        <w:pStyle w:val="SubSubSection"/>
      </w:pPr>
      <w:r>
        <w:t>Curated exhibits and programs</w:t>
      </w:r>
      <w:r w:rsidR="00FB512A">
        <w:t>.</w:t>
      </w:r>
    </w:p>
    <w:p w14:paraId="17E5832D" w14:textId="4EABA9EC" w:rsidR="002C1DC8" w:rsidRDefault="001D2DF6" w:rsidP="00484007">
      <w:pPr>
        <w:pStyle w:val="SubSubSection"/>
      </w:pPr>
      <w:r>
        <w:t>Construction of novel tools, including methods, databases, procedures etc.</w:t>
      </w:r>
    </w:p>
    <w:p w14:paraId="1102D620" w14:textId="77F57BDD" w:rsidR="008F59CD" w:rsidRDefault="000E18BB" w:rsidP="00484007">
      <w:pPr>
        <w:pStyle w:val="SubSubSection"/>
      </w:pPr>
      <w:r>
        <w:lastRenderedPageBreak/>
        <w:t>Organization and execution of t</w:t>
      </w:r>
      <w:r w:rsidR="008F59CD">
        <w:t>ranslation, communication and engagement-oriented workshops and events</w:t>
      </w:r>
      <w:r w:rsidR="00EE5A2D">
        <w:t>, where there is a clear research, scholarship and/or creative activities component</w:t>
      </w:r>
      <w:r w:rsidR="008F59CD">
        <w:t xml:space="preserve">. </w:t>
      </w:r>
    </w:p>
    <w:p w14:paraId="3FB959A7" w14:textId="30166A0B" w:rsidR="00505A4F" w:rsidRPr="008A1209" w:rsidRDefault="00505A4F" w:rsidP="00484007">
      <w:pPr>
        <w:pStyle w:val="Subsection"/>
        <w:rPr>
          <w:b/>
          <w:bCs/>
        </w:rPr>
      </w:pPr>
      <w:r w:rsidRPr="008A1209">
        <w:rPr>
          <w:b/>
          <w:bCs/>
        </w:rPr>
        <w:t>Teaching and Instruction</w:t>
      </w:r>
      <w:r w:rsidR="007B69CB" w:rsidRPr="008A1209">
        <w:rPr>
          <w:b/>
          <w:bCs/>
        </w:rPr>
        <w:t>:</w:t>
      </w:r>
    </w:p>
    <w:p w14:paraId="44B129F8" w14:textId="4BCBC932" w:rsidR="00505A4F" w:rsidRDefault="00505A4F" w:rsidP="00484007">
      <w:pPr>
        <w:pStyle w:val="SubSubSection"/>
      </w:pPr>
      <w:r>
        <w:t>Course development, and the development of syllabi</w:t>
      </w:r>
      <w:r w:rsidR="006A62B0">
        <w:t xml:space="preserve"> that meet or exceed professional standards</w:t>
      </w:r>
      <w:r>
        <w:t xml:space="preserve">. </w:t>
      </w:r>
    </w:p>
    <w:p w14:paraId="391AD6C8" w14:textId="31E5AD52" w:rsidR="00505A4F" w:rsidRDefault="00505A4F" w:rsidP="00484007">
      <w:pPr>
        <w:pStyle w:val="SubSubSection"/>
      </w:pPr>
      <w:r>
        <w:t xml:space="preserve">Evidence of student success, such as measured performance against specific competencies and skills. </w:t>
      </w:r>
    </w:p>
    <w:p w14:paraId="55AE97EA" w14:textId="0E3844A8" w:rsidR="00505A4F" w:rsidRDefault="007238D0" w:rsidP="00484007">
      <w:pPr>
        <w:pStyle w:val="SubSubSection"/>
      </w:pPr>
      <w:r>
        <w:t>Numeric s</w:t>
      </w:r>
      <w:r w:rsidR="00505A4F">
        <w:t>tudent evaluations</w:t>
      </w:r>
      <w:r>
        <w:t xml:space="preserve"> (section 7).</w:t>
      </w:r>
    </w:p>
    <w:p w14:paraId="2606BD02" w14:textId="1FAE8839" w:rsidR="00505A4F" w:rsidRDefault="007B7A9C" w:rsidP="00484007">
      <w:pPr>
        <w:pStyle w:val="SubSubSection"/>
      </w:pPr>
      <w:r>
        <w:t>Teaching peer evaluations.</w:t>
      </w:r>
      <w:r w:rsidR="00505A4F">
        <w:t xml:space="preserve"> </w:t>
      </w:r>
    </w:p>
    <w:p w14:paraId="6B8DB6C3" w14:textId="7FF08499" w:rsidR="00505A4F" w:rsidRDefault="007B7A9C" w:rsidP="00484007">
      <w:pPr>
        <w:pStyle w:val="SubSubSection"/>
      </w:pPr>
      <w:r>
        <w:t>E</w:t>
      </w:r>
      <w:r w:rsidR="00505A4F">
        <w:t>vidence of responsiveness to student and peer feed</w:t>
      </w:r>
      <w:r>
        <w:t>back.</w:t>
      </w:r>
      <w:r w:rsidR="00505A4F">
        <w:t xml:space="preserve"> </w:t>
      </w:r>
    </w:p>
    <w:p w14:paraId="36A94A28" w14:textId="7017E6E2" w:rsidR="00505A4F" w:rsidRDefault="007238D0" w:rsidP="00484007">
      <w:pPr>
        <w:pStyle w:val="SubSubSection"/>
      </w:pPr>
      <w:r>
        <w:t>Evidence of effective s</w:t>
      </w:r>
      <w:r w:rsidR="00505A4F">
        <w:t>t</w:t>
      </w:r>
      <w:r w:rsidR="007B7A9C">
        <w:t>udent mentorship</w:t>
      </w:r>
      <w:r w:rsidR="008A1209">
        <w:t xml:space="preserve">, </w:t>
      </w:r>
      <w:r w:rsidR="007B7A9C">
        <w:t>engagement</w:t>
      </w:r>
      <w:r w:rsidR="008A1209">
        <w:t xml:space="preserve"> and training.</w:t>
      </w:r>
    </w:p>
    <w:p w14:paraId="178EA8FD" w14:textId="30E9F004" w:rsidR="00505A4F" w:rsidRDefault="007238D0" w:rsidP="00484007">
      <w:pPr>
        <w:pStyle w:val="SubSubSection"/>
      </w:pPr>
      <w:r>
        <w:t>Evidence of e</w:t>
      </w:r>
      <w:r w:rsidR="007B7A9C">
        <w:t>ffective i</w:t>
      </w:r>
      <w:r w:rsidR="00505A4F">
        <w:t>nnovat</w:t>
      </w:r>
      <w:r w:rsidR="007B7A9C">
        <w:t>ion in teaching and instruction.</w:t>
      </w:r>
      <w:r w:rsidR="00505A4F">
        <w:t xml:space="preserve"> </w:t>
      </w:r>
    </w:p>
    <w:p w14:paraId="19A98BC4" w14:textId="31419E79" w:rsidR="005334B1" w:rsidRDefault="005334B1" w:rsidP="00484007">
      <w:pPr>
        <w:pStyle w:val="SubSubSection"/>
      </w:pPr>
      <w:r>
        <w:t>Evidence of progression over time in teaching quality and impact</w:t>
      </w:r>
    </w:p>
    <w:p w14:paraId="740069A8" w14:textId="7C486610" w:rsidR="007B7A9C" w:rsidRDefault="00730831" w:rsidP="00484007">
      <w:pPr>
        <w:pStyle w:val="SubSubSection"/>
      </w:pPr>
      <w:r>
        <w:t>Evidence of effective research mentorship and c</w:t>
      </w:r>
      <w:r w:rsidR="00505A4F">
        <w:t>o-authorshi</w:t>
      </w:r>
      <w:r w:rsidR="007B7A9C">
        <w:t xml:space="preserve">p </w:t>
      </w:r>
      <w:r>
        <w:t>or other co-creation of scholarly outputs</w:t>
      </w:r>
      <w:r w:rsidR="007B7A9C">
        <w:t xml:space="preserve"> with students.</w:t>
      </w:r>
    </w:p>
    <w:p w14:paraId="5E91CBFA" w14:textId="5F5358C7" w:rsidR="00505A4F" w:rsidRDefault="007B7A9C" w:rsidP="00484007">
      <w:pPr>
        <w:pStyle w:val="SubSubSection"/>
      </w:pPr>
      <w:r>
        <w:t>Documented p</w:t>
      </w:r>
      <w:r w:rsidR="00505A4F">
        <w:t>rofessional development</w:t>
      </w:r>
      <w:r w:rsidR="00730831">
        <w:t>, publishing or other creative outputs</w:t>
      </w:r>
      <w:r>
        <w:t xml:space="preserve"> related to teaching and instruction</w:t>
      </w:r>
      <w:r w:rsidR="00505A4F">
        <w:t>.</w:t>
      </w:r>
    </w:p>
    <w:p w14:paraId="09570017" w14:textId="73DA5F98" w:rsidR="006A5A5F" w:rsidRDefault="006A5A5F" w:rsidP="00484007">
      <w:pPr>
        <w:pStyle w:val="SubSubSection"/>
      </w:pPr>
      <w:r>
        <w:t>Development and successful implementation of informal</w:t>
      </w:r>
      <w:r w:rsidR="00425BEE">
        <w:t xml:space="preserve"> </w:t>
      </w:r>
      <w:r>
        <w:t>education initiatives.</w:t>
      </w:r>
    </w:p>
    <w:p w14:paraId="265F6572" w14:textId="172235F7" w:rsidR="00425BEE" w:rsidRDefault="00425BEE" w:rsidP="00484007">
      <w:pPr>
        <w:pStyle w:val="SubSubSection"/>
      </w:pPr>
      <w:r>
        <w:t xml:space="preserve">Development and successful implementation of innovative approaches to learning and instruction </w:t>
      </w:r>
    </w:p>
    <w:p w14:paraId="5EC5255B" w14:textId="370A5A81" w:rsidR="006A5A5F" w:rsidRDefault="006A5A5F" w:rsidP="00484007">
      <w:pPr>
        <w:pStyle w:val="SubSubSection"/>
      </w:pPr>
      <w:r>
        <w:t>Development and implementation of successful executive</w:t>
      </w:r>
      <w:r w:rsidR="00730831">
        <w:t>, continuing and/or professional</w:t>
      </w:r>
      <w:r>
        <w:t xml:space="preserve"> education courses and content.</w:t>
      </w:r>
    </w:p>
    <w:p w14:paraId="1E0E55C3" w14:textId="77777777" w:rsidR="007B7A9C" w:rsidRPr="008A1209" w:rsidRDefault="007B7A9C" w:rsidP="00484007">
      <w:pPr>
        <w:pStyle w:val="Subsection"/>
        <w:rPr>
          <w:b/>
          <w:bCs/>
        </w:rPr>
      </w:pPr>
      <w:r w:rsidRPr="008A1209">
        <w:rPr>
          <w:b/>
          <w:bCs/>
        </w:rPr>
        <w:t>Professional and Public Service</w:t>
      </w:r>
    </w:p>
    <w:p w14:paraId="48FEBCF0" w14:textId="0173C6C0" w:rsidR="007B7A9C" w:rsidRDefault="007B7A9C" w:rsidP="00484007">
      <w:pPr>
        <w:pStyle w:val="SubSubSection"/>
      </w:pPr>
      <w:r>
        <w:t xml:space="preserve">Participation and leadership in school and university committees and formal initiatives. </w:t>
      </w:r>
    </w:p>
    <w:p w14:paraId="26FCDDBA" w14:textId="3948C60A" w:rsidR="007B7A9C" w:rsidRDefault="007B7A9C" w:rsidP="00484007">
      <w:pPr>
        <w:pStyle w:val="SubSubSection"/>
      </w:pPr>
      <w:r>
        <w:t>Participation and leadership in professional organizations.</w:t>
      </w:r>
    </w:p>
    <w:p w14:paraId="4DD2F1C6" w14:textId="76409E1C" w:rsidR="007B7A9C" w:rsidRDefault="007B7A9C" w:rsidP="00484007">
      <w:pPr>
        <w:pStyle w:val="SubSubSection"/>
      </w:pPr>
      <w:r>
        <w:t xml:space="preserve">Professional organization outputs such as reports, articles or papers, and </w:t>
      </w:r>
      <w:r w:rsidR="00FF4616">
        <w:t xml:space="preserve">associated </w:t>
      </w:r>
      <w:r>
        <w:t>demonstrable impacts or influence beyond academia.</w:t>
      </w:r>
    </w:p>
    <w:p w14:paraId="30922487" w14:textId="6F8FA888" w:rsidR="007B7A9C" w:rsidRDefault="00677A16" w:rsidP="00484007">
      <w:pPr>
        <w:pStyle w:val="SubSubSection"/>
      </w:pPr>
      <w:r>
        <w:t>Evidence of d</w:t>
      </w:r>
      <w:r w:rsidR="007B7A9C">
        <w:t>evelopment of and leadership in major engagem</w:t>
      </w:r>
      <w:r w:rsidR="00FF4616">
        <w:t>ent and translation initiatives.</w:t>
      </w:r>
    </w:p>
    <w:p w14:paraId="75416D6D" w14:textId="4D75ED08" w:rsidR="00342847" w:rsidRDefault="00342847" w:rsidP="00484007">
      <w:pPr>
        <w:pStyle w:val="SubSubSection"/>
      </w:pPr>
      <w:r>
        <w:t>Evidence of development of, leadership in, and impact through, extension-based activities.</w:t>
      </w:r>
    </w:p>
    <w:p w14:paraId="71902296" w14:textId="1A4CC389" w:rsidR="007B7A9C" w:rsidRDefault="00FF4616" w:rsidP="00484007">
      <w:pPr>
        <w:pStyle w:val="SubSubSection"/>
      </w:pPr>
      <w:r>
        <w:t>P</w:t>
      </w:r>
      <w:r w:rsidR="007B7A9C">
        <w:t>roactive and impactful use of social and tradi</w:t>
      </w:r>
      <w:r>
        <w:t>tional media, including blogs, podcasts, and videos.</w:t>
      </w:r>
      <w:r w:rsidR="007B7A9C">
        <w:t xml:space="preserve"> </w:t>
      </w:r>
    </w:p>
    <w:p w14:paraId="418BC2A3" w14:textId="77E40CB2" w:rsidR="007B7A9C" w:rsidRDefault="00677A16" w:rsidP="00484007">
      <w:pPr>
        <w:pStyle w:val="SubSubSection"/>
      </w:pPr>
      <w:r>
        <w:t>Evidence of p</w:t>
      </w:r>
      <w:r w:rsidR="007B7A9C">
        <w:t xml:space="preserve">articipation </w:t>
      </w:r>
      <w:r w:rsidR="00FF4616">
        <w:t xml:space="preserve">and leadership </w:t>
      </w:r>
      <w:r w:rsidR="007B7A9C">
        <w:t>in public engagement and commu</w:t>
      </w:r>
      <w:r w:rsidR="00FF4616">
        <w:t>nication events and initiatives.</w:t>
      </w:r>
      <w:r w:rsidR="007B7A9C">
        <w:t xml:space="preserve"> </w:t>
      </w:r>
    </w:p>
    <w:p w14:paraId="29B6C1A8" w14:textId="1DFF6D74" w:rsidR="007B7A9C" w:rsidRDefault="00FF4616" w:rsidP="00484007">
      <w:pPr>
        <w:pStyle w:val="SubSubSection"/>
      </w:pPr>
      <w:r>
        <w:lastRenderedPageBreak/>
        <w:t>D</w:t>
      </w:r>
      <w:r w:rsidR="007B7A9C">
        <w:t>evelopment of and participation in</w:t>
      </w:r>
      <w:r>
        <w:t xml:space="preserve"> informal education initiatives.</w:t>
      </w:r>
      <w:r w:rsidR="007B7A9C">
        <w:t xml:space="preserve"> </w:t>
      </w:r>
    </w:p>
    <w:p w14:paraId="633006B9" w14:textId="1D9A9D6D" w:rsidR="007B7A9C" w:rsidRDefault="00FF4616" w:rsidP="00484007">
      <w:pPr>
        <w:pStyle w:val="SubSubSection"/>
      </w:pPr>
      <w:r>
        <w:t>Public testimony.</w:t>
      </w:r>
      <w:r w:rsidR="007B7A9C">
        <w:t xml:space="preserve"> </w:t>
      </w:r>
    </w:p>
    <w:p w14:paraId="447EC5FE" w14:textId="02C80FC4" w:rsidR="007B7A9C" w:rsidRDefault="00677A16" w:rsidP="00484007">
      <w:pPr>
        <w:pStyle w:val="SubSubSection"/>
      </w:pPr>
      <w:r>
        <w:t>Evidence of e</w:t>
      </w:r>
      <w:r w:rsidR="00FF4616">
        <w:t>ngagement with</w:t>
      </w:r>
      <w:r w:rsidR="007B7A9C">
        <w:t xml:space="preserve"> individuals and organ</w:t>
      </w:r>
      <w:r w:rsidR="00FF4616">
        <w:t>izations as part of extending the impact of the school, university, and personal academic work.</w:t>
      </w:r>
      <w:r w:rsidR="007B7A9C">
        <w:t xml:space="preserve"> </w:t>
      </w:r>
    </w:p>
    <w:p w14:paraId="4E7E727F" w14:textId="5011727F" w:rsidR="007B7A9C" w:rsidRDefault="00677A16" w:rsidP="00484007">
      <w:pPr>
        <w:pStyle w:val="SubSubSection"/>
      </w:pPr>
      <w:r>
        <w:t>Development and execution of t</w:t>
      </w:r>
      <w:r w:rsidR="00FF4616">
        <w:t xml:space="preserve">ranslation, </w:t>
      </w:r>
      <w:r w:rsidR="007B7A9C">
        <w:t>communication</w:t>
      </w:r>
      <w:r w:rsidR="00FF4616">
        <w:t xml:space="preserve"> and engagement</w:t>
      </w:r>
      <w:r w:rsidR="007B7A9C">
        <w:t xml:space="preserve">-oriented workshops and events. </w:t>
      </w:r>
    </w:p>
    <w:p w14:paraId="63FB4814" w14:textId="486256FE" w:rsidR="007B7A9C" w:rsidRDefault="00677A16" w:rsidP="00484007">
      <w:pPr>
        <w:pStyle w:val="SubSubSection"/>
      </w:pPr>
      <w:r>
        <w:t>Evidence of r</w:t>
      </w:r>
      <w:r w:rsidR="00FF4616">
        <w:t>esponsive and effective engagement with media.</w:t>
      </w:r>
    </w:p>
    <w:p w14:paraId="087343DA" w14:textId="7FB02B7B" w:rsidR="007B7A9C" w:rsidRDefault="00677A16" w:rsidP="00484007">
      <w:pPr>
        <w:pStyle w:val="SubSubSection"/>
      </w:pPr>
      <w:r>
        <w:t>Evidence of c</w:t>
      </w:r>
      <w:r w:rsidR="00FF4616">
        <w:t>reative, systematic and outcome-oriented approaches to public engagement.</w:t>
      </w:r>
    </w:p>
    <w:p w14:paraId="7BFD3B1B" w14:textId="670015FD" w:rsidR="00677A16" w:rsidRDefault="00677A16" w:rsidP="00484007">
      <w:pPr>
        <w:pStyle w:val="SubSubSection"/>
      </w:pPr>
      <w:r>
        <w:t>Evidence of development and execution of citizen science initiatives.</w:t>
      </w:r>
    </w:p>
    <w:p w14:paraId="1B8C9A04" w14:textId="0CC53444" w:rsidR="00677A16" w:rsidRDefault="00677A16" w:rsidP="00484007">
      <w:pPr>
        <w:pStyle w:val="SubSubSection"/>
      </w:pPr>
      <w:r>
        <w:t xml:space="preserve">Evidence of effective and impactful practices around community engagement, </w:t>
      </w:r>
    </w:p>
    <w:p w14:paraId="5F2C8088" w14:textId="77777777" w:rsidR="00FF4616" w:rsidRDefault="00FF4616" w:rsidP="00484007">
      <w:pPr>
        <w:pStyle w:val="SubSubSection"/>
        <w:numPr>
          <w:ilvl w:val="0"/>
          <w:numId w:val="0"/>
        </w:numPr>
        <w:ind w:left="720"/>
      </w:pPr>
    </w:p>
    <w:p w14:paraId="242216B5" w14:textId="77777777" w:rsidR="00CF4815" w:rsidRDefault="00CF4815" w:rsidP="00990A1E">
      <w:pPr>
        <w:pStyle w:val="Sections"/>
      </w:pPr>
      <w:r>
        <w:t>Workload/flexible performance arrangements</w:t>
      </w:r>
    </w:p>
    <w:p w14:paraId="28843C59" w14:textId="77777777" w:rsidR="00CF4815" w:rsidRDefault="00CF4815" w:rsidP="00484007">
      <w:pPr>
        <w:pStyle w:val="Subsection"/>
      </w:pPr>
      <w:r>
        <w:t>The annual review process shall reflect agreed-on expectations regarding workload and priorities, as well as being sensitive to circumstances beyond the control of faculty.</w:t>
      </w:r>
    </w:p>
    <w:p w14:paraId="49627C47" w14:textId="7365A499" w:rsidR="00CF4815" w:rsidRDefault="00CF4815" w:rsidP="00484007">
      <w:pPr>
        <w:pStyle w:val="Subsection"/>
      </w:pPr>
      <w:r>
        <w:t>Where appropriate, evaluations shall align with agreed-on time-commitments to scholarship, research and/or creative activities, teaching and instruction, and professional and public service.  Faculty that have elevated expectations in any of these areas will be evaluated accordingly.</w:t>
      </w:r>
    </w:p>
    <w:p w14:paraId="5EB225EC" w14:textId="4D6BFDEF" w:rsidR="00CF4815" w:rsidRDefault="00CF4815" w:rsidP="00484007">
      <w:pPr>
        <w:pStyle w:val="Subsection"/>
      </w:pPr>
      <w:r>
        <w:t>Faculty working part time shall be evaluated according to their contractual time commitment.</w:t>
      </w:r>
    </w:p>
    <w:p w14:paraId="42F99430" w14:textId="58E7A120" w:rsidR="00CF4815" w:rsidRDefault="00CF4815" w:rsidP="00484007">
      <w:pPr>
        <w:pStyle w:val="Subsection"/>
      </w:pPr>
      <w:r>
        <w:t>Personal circumstances that may limit a faculty member’s productivity</w:t>
      </w:r>
      <w:r w:rsidR="00134C57">
        <w:t xml:space="preserve"> or performance</w:t>
      </w:r>
      <w:r>
        <w:t>, such as illness</w:t>
      </w:r>
      <w:r w:rsidR="00AA1335">
        <w:t xml:space="preserve"> or life circumstances</w:t>
      </w:r>
      <w:r>
        <w:t xml:space="preserve">, shall be taken into account in evaluations. </w:t>
      </w:r>
    </w:p>
    <w:p w14:paraId="57480547" w14:textId="0B963D80" w:rsidR="00CF4815" w:rsidRDefault="00CF4815" w:rsidP="00484007">
      <w:pPr>
        <w:pStyle w:val="Subsection"/>
      </w:pPr>
      <w:r>
        <w:t xml:space="preserve">Faculty with joint appointments </w:t>
      </w:r>
      <w:r w:rsidR="007978E2">
        <w:t xml:space="preserve">but where SFIS is their </w:t>
      </w:r>
      <w:r w:rsidR="00134C57">
        <w:t xml:space="preserve">primary or </w:t>
      </w:r>
      <w:r w:rsidR="007978E2">
        <w:t xml:space="preserve">tenure home </w:t>
      </w:r>
      <w:r>
        <w:t xml:space="preserve">shall be evaluated </w:t>
      </w:r>
      <w:r w:rsidR="00134C57">
        <w:t xml:space="preserve">based on a signed Memorandum of Understanding </w:t>
      </w:r>
      <w:r w:rsidR="00AA5912">
        <w:t xml:space="preserve">(MOU) </w:t>
      </w:r>
      <w:r w:rsidR="00134C57">
        <w:t xml:space="preserve">with the other unit(s). In the absence of such an MOU, faculty shall be evaluated </w:t>
      </w:r>
      <w:r>
        <w:t>on the sum of their work across units</w:t>
      </w:r>
      <w:r w:rsidR="00134C57">
        <w:t xml:space="preserve"> with </w:t>
      </w:r>
      <w:r>
        <w:t>the expectations and norms of other units taken into consideration in the evaluation process</w:t>
      </w:r>
      <w:r w:rsidR="00134C57">
        <w:t>, after taking into consideration the expectations and norms of the school</w:t>
      </w:r>
      <w:r>
        <w:t xml:space="preserve">. </w:t>
      </w:r>
    </w:p>
    <w:p w14:paraId="716261D4" w14:textId="77777777" w:rsidR="004006A3" w:rsidRDefault="004006A3" w:rsidP="00484007">
      <w:pPr>
        <w:pStyle w:val="Subsection"/>
        <w:numPr>
          <w:ilvl w:val="0"/>
          <w:numId w:val="0"/>
        </w:numPr>
        <w:ind w:left="18"/>
      </w:pPr>
    </w:p>
    <w:p w14:paraId="76F688EF" w14:textId="0D41CA30" w:rsidR="00D05F08" w:rsidRDefault="00D05F08" w:rsidP="00990A1E">
      <w:pPr>
        <w:pStyle w:val="Sections"/>
      </w:pPr>
      <w:r>
        <w:t>Unsatisfactory performance</w:t>
      </w:r>
    </w:p>
    <w:p w14:paraId="6A8EEEBB" w14:textId="2898C91D" w:rsidR="00D05F08" w:rsidRDefault="00D05F08" w:rsidP="00484007">
      <w:pPr>
        <w:pStyle w:val="Subsection"/>
      </w:pPr>
      <w:r>
        <w:t xml:space="preserve">If faculty receive an evaluation rating of </w:t>
      </w:r>
      <w:r w:rsidR="00480200">
        <w:t>unsatisfactory</w:t>
      </w:r>
      <w:r>
        <w:t xml:space="preserve"> in any of the three areas of assessment, they will be required to develop a plan for improving their performance. </w:t>
      </w:r>
    </w:p>
    <w:p w14:paraId="4F3D3434" w14:textId="4EE276EB" w:rsidR="004006A3" w:rsidRDefault="00D05F08" w:rsidP="00484007">
      <w:pPr>
        <w:pStyle w:val="Subsection"/>
      </w:pPr>
      <w:r>
        <w:t xml:space="preserve">For tenured faculty, </w:t>
      </w:r>
      <w:r w:rsidR="00AA1335">
        <w:t>i</w:t>
      </w:r>
      <w:r>
        <w:t xml:space="preserve">f their overall evaluation is unsatisfactory, they will need to follow the procedure set out in section </w:t>
      </w:r>
      <w:r w:rsidR="00AA1335">
        <w:t>1</w:t>
      </w:r>
      <w:r w:rsidR="009C00E5">
        <w:t>1</w:t>
      </w:r>
      <w:r>
        <w:t xml:space="preserve"> below.</w:t>
      </w:r>
    </w:p>
    <w:p w14:paraId="50818B42" w14:textId="67C87B70" w:rsidR="00D05F08" w:rsidRDefault="00D05F08" w:rsidP="00484007">
      <w:pPr>
        <w:pStyle w:val="Subsection"/>
      </w:pPr>
      <w:r>
        <w:t xml:space="preserve">For faculty receiving an evaluation of </w:t>
      </w:r>
      <w:r w:rsidR="006F0D54">
        <w:t>unsatisfactory</w:t>
      </w:r>
      <w:r>
        <w:t xml:space="preserve"> in just one area, they will be required to develop a written professional development plan that describes the steps they will take to improve their performance. This should be submitted to and agreed on by the Associate Director for Faculty within 30 days of receiving their evaluation.</w:t>
      </w:r>
    </w:p>
    <w:p w14:paraId="54B9F480" w14:textId="3A3712F5" w:rsidR="009E2C18" w:rsidRDefault="009E2C18" w:rsidP="00484007">
      <w:pPr>
        <w:pStyle w:val="Subsection"/>
      </w:pPr>
      <w:r>
        <w:lastRenderedPageBreak/>
        <w:t>C</w:t>
      </w:r>
      <w:r w:rsidR="003B0441">
        <w:t>ontract</w:t>
      </w:r>
      <w:r w:rsidR="00480200">
        <w:t xml:space="preserve"> </w:t>
      </w:r>
      <w:r>
        <w:t>faculty</w:t>
      </w:r>
      <w:r w:rsidRPr="009E2C18">
        <w:t xml:space="preserve"> </w:t>
      </w:r>
      <w:r>
        <w:t>receiving an overall unsatisfactory performance rating</w:t>
      </w:r>
      <w:r w:rsidR="0088134D">
        <w:t xml:space="preserve"> may</w:t>
      </w:r>
      <w:r>
        <w:t xml:space="preserve"> be required to develop, in collaboration with the Associate Director for Faculty and Director, a Performance Improvement Plan (PIP).</w:t>
      </w:r>
      <w:r w:rsidR="0088134D">
        <w:t xml:space="preserve"> </w:t>
      </w:r>
      <w:r w:rsidR="00416D5C">
        <w:t>However, this is in addition to any actions that may result from their performance evaluation within the terms of their employment.</w:t>
      </w:r>
      <w:r w:rsidR="0088134D">
        <w:t xml:space="preserve"> </w:t>
      </w:r>
    </w:p>
    <w:p w14:paraId="62B4ED52" w14:textId="1FD9C764" w:rsidR="006F27FB" w:rsidRDefault="006F27FB" w:rsidP="00484007">
      <w:pPr>
        <w:pStyle w:val="Subsection"/>
      </w:pPr>
      <w:r>
        <w:t>P</w:t>
      </w:r>
      <w:r w:rsidR="00480200">
        <w:t>re-</w:t>
      </w:r>
      <w:proofErr w:type="spellStart"/>
      <w:r w:rsidR="00480200">
        <w:t>tenure</w:t>
      </w:r>
      <w:proofErr w:type="spellEnd"/>
      <w:r w:rsidR="00480200">
        <w:t xml:space="preserve"> faculty receiving an overall unsatisfactory performance rating</w:t>
      </w:r>
      <w:r w:rsidR="0088134D">
        <w:t xml:space="preserve"> </w:t>
      </w:r>
      <w:r w:rsidR="00480200">
        <w:t xml:space="preserve">will be required to develop, in collaboration with the Associate Director for Faculty and Director, a Performance Improvement Plan (PIP). </w:t>
      </w:r>
    </w:p>
    <w:p w14:paraId="5D71615C" w14:textId="3928864C" w:rsidR="00480200" w:rsidRPr="00EE1E84" w:rsidRDefault="00480200" w:rsidP="00484007">
      <w:pPr>
        <w:pStyle w:val="Subsection"/>
      </w:pPr>
      <w:r w:rsidRPr="00EE1E84">
        <w:t xml:space="preserve">The PIP </w:t>
      </w:r>
      <w:r>
        <w:t>shall identify, at a minimum</w:t>
      </w:r>
      <w:r w:rsidRPr="00EE1E84">
        <w:t>:</w:t>
      </w:r>
    </w:p>
    <w:p w14:paraId="61B0E8BA" w14:textId="77777777" w:rsidR="00480200" w:rsidRPr="00EE1E84" w:rsidRDefault="00480200" w:rsidP="00484007">
      <w:pPr>
        <w:pStyle w:val="SubSubSection"/>
      </w:pPr>
      <w:r>
        <w:t>T</w:t>
      </w:r>
      <w:r w:rsidRPr="00EE1E84">
        <w:t>he specific deficiencies that led to the unsatisfactory performance rating</w:t>
      </w:r>
      <w:r>
        <w:t>;</w:t>
      </w:r>
    </w:p>
    <w:p w14:paraId="5ADD0D66" w14:textId="77777777" w:rsidR="00480200" w:rsidRPr="00EE1E84" w:rsidRDefault="00480200" w:rsidP="00484007">
      <w:pPr>
        <w:pStyle w:val="SubSubSection"/>
      </w:pPr>
      <w:r>
        <w:t>S</w:t>
      </w:r>
      <w:r w:rsidRPr="00EE1E84">
        <w:t>pecific goals or outcomes that are needed to remedy the deficiencies</w:t>
      </w:r>
      <w:r>
        <w:t>;</w:t>
      </w:r>
    </w:p>
    <w:p w14:paraId="6D57D61F" w14:textId="77777777" w:rsidR="00480200" w:rsidRPr="00EE1E84" w:rsidRDefault="00480200" w:rsidP="00484007">
      <w:pPr>
        <w:pStyle w:val="SubSubSection"/>
      </w:pPr>
      <w:r>
        <w:t>A</w:t>
      </w:r>
      <w:r w:rsidRPr="00EE1E84">
        <w:t>n outline of activities to be undertaken to achieve the outcomes</w:t>
      </w:r>
      <w:r>
        <w:t>;</w:t>
      </w:r>
    </w:p>
    <w:p w14:paraId="6AD56B2B" w14:textId="77777777" w:rsidR="00480200" w:rsidRPr="00EE1E84" w:rsidRDefault="00480200" w:rsidP="00484007">
      <w:pPr>
        <w:pStyle w:val="SubSubSection"/>
      </w:pPr>
      <w:r>
        <w:t>M</w:t>
      </w:r>
      <w:r w:rsidRPr="00EE1E84">
        <w:t>ilestones with specific criteria so that progress toward goals or outcom</w:t>
      </w:r>
      <w:r>
        <w:t>es can be measured periodically; and</w:t>
      </w:r>
    </w:p>
    <w:p w14:paraId="187D2F55" w14:textId="77777777" w:rsidR="00480200" w:rsidRDefault="00480200" w:rsidP="00484007">
      <w:pPr>
        <w:pStyle w:val="SubSubSection"/>
      </w:pPr>
      <w:r>
        <w:t>R</w:t>
      </w:r>
      <w:r w:rsidRPr="00EE1E84">
        <w:t>easonable resources that can be made available to assist the faculty memb</w:t>
      </w:r>
      <w:r>
        <w:t>er in the achievement of goals.</w:t>
      </w:r>
    </w:p>
    <w:p w14:paraId="08682193" w14:textId="21800513" w:rsidR="00480200" w:rsidRDefault="00480200" w:rsidP="00484007">
      <w:pPr>
        <w:pStyle w:val="Subsection"/>
      </w:pPr>
      <w:r>
        <w:t>The faculty member shall work with their mentors and the Associate Director for Faculty to implement the plan, and work toward raising performance to satisfactory or above.</w:t>
      </w:r>
    </w:p>
    <w:p w14:paraId="074803C1" w14:textId="02459887" w:rsidR="00480200" w:rsidRDefault="008A7C6D" w:rsidP="00484007">
      <w:pPr>
        <w:pStyle w:val="Subsection"/>
      </w:pPr>
      <w:r>
        <w:t xml:space="preserve">The expectation is that the PIP shall lead to a satisfactory (or higher) rating the follow year. If it does not, further actions shall be considered by the school Director based on evaluations. </w:t>
      </w:r>
    </w:p>
    <w:p w14:paraId="6AF32B8E" w14:textId="77777777" w:rsidR="000F55B1" w:rsidRDefault="000F55B1" w:rsidP="00484007">
      <w:pPr>
        <w:pStyle w:val="Subsection"/>
        <w:numPr>
          <w:ilvl w:val="0"/>
          <w:numId w:val="0"/>
        </w:numPr>
        <w:ind w:left="18"/>
      </w:pPr>
    </w:p>
    <w:p w14:paraId="63A531E7" w14:textId="3781003E" w:rsidR="000F55B1" w:rsidRPr="00990A1E" w:rsidRDefault="000F55B1" w:rsidP="00990A1E">
      <w:pPr>
        <w:pStyle w:val="Sections"/>
      </w:pPr>
      <w:r w:rsidRPr="00990A1E">
        <w:t>Post Tenure Review</w:t>
      </w:r>
    </w:p>
    <w:p w14:paraId="3738AD53" w14:textId="776D9D15" w:rsidR="00647B8C" w:rsidRDefault="00647B8C" w:rsidP="00484007">
      <w:pPr>
        <w:pStyle w:val="Subsection"/>
      </w:pPr>
      <w:r>
        <w:t xml:space="preserve">As per </w:t>
      </w:r>
      <w:hyperlink r:id="rId15" w:history="1">
        <w:r w:rsidRPr="00647B8C">
          <w:rPr>
            <w:rStyle w:val="Hyperlink"/>
          </w:rPr>
          <w:t>ACD 506-11</w:t>
        </w:r>
      </w:hyperlink>
      <w:r>
        <w:t>, “</w:t>
      </w:r>
      <w:r w:rsidRPr="00647B8C">
        <w:t>post-tenure review assures accountability for sustained, high quality performance as well as promotes continued professional development</w:t>
      </w:r>
      <w:r>
        <w:t xml:space="preserve"> [amongst tenured facul</w:t>
      </w:r>
      <w:r w:rsidR="00480200">
        <w:t>t</w:t>
      </w:r>
      <w:r>
        <w:t>y]</w:t>
      </w:r>
      <w:r w:rsidRPr="00647B8C">
        <w:t>. The post-tenure review is guided by the Principles for Post-Tenure Review at ASU approved by the University Senate in 1996.</w:t>
      </w:r>
      <w:r>
        <w:t>”</w:t>
      </w:r>
    </w:p>
    <w:p w14:paraId="3CFC43A2" w14:textId="00C2F81C" w:rsidR="00647B8C" w:rsidRPr="00647B8C" w:rsidRDefault="00647B8C" w:rsidP="00484007">
      <w:pPr>
        <w:pStyle w:val="Subsection"/>
      </w:pPr>
      <w:r w:rsidRPr="00647B8C">
        <w:t xml:space="preserve">When a </w:t>
      </w:r>
      <w:r>
        <w:t xml:space="preserve">tenured </w:t>
      </w:r>
      <w:r w:rsidRPr="00647B8C">
        <w:t xml:space="preserve">faculty member receives an overall unsatisfactory performance rating, a </w:t>
      </w:r>
      <w:r>
        <w:t>school</w:t>
      </w:r>
      <w:r w:rsidR="00134C57">
        <w:t>-</w:t>
      </w:r>
      <w:r w:rsidRPr="00647B8C">
        <w:t>level Performance Improvement Plan (PIP) is required. An overall unsatisfactory rating may result from two or more areas with unsatisfactory ratings in consecutive years or may result from one area with an unsatisfactory rating (for example, teaching) depending on the emphasis assigned to that area in the faculty member’s goal-based work load agreement and the extent of the deficiency.</w:t>
      </w:r>
    </w:p>
    <w:p w14:paraId="34BB6B41" w14:textId="52B5072A" w:rsidR="00647B8C" w:rsidRDefault="00647B8C" w:rsidP="00484007">
      <w:pPr>
        <w:pStyle w:val="Subsection"/>
      </w:pPr>
      <w:r w:rsidRPr="00647B8C">
        <w:t xml:space="preserve">If an individual’s performance becomes unsatisfactory, the faculty member has a responsibility, shared with the university, to improve performance. Every attempt </w:t>
      </w:r>
      <w:r>
        <w:t>shall</w:t>
      </w:r>
      <w:r w:rsidRPr="00647B8C">
        <w:t xml:space="preserve"> be made to support the faculty member through a </w:t>
      </w:r>
      <w:r>
        <w:t>school</w:t>
      </w:r>
      <w:r w:rsidR="00134C57">
        <w:t>-</w:t>
      </w:r>
      <w:r w:rsidRPr="00647B8C">
        <w:t xml:space="preserve">level PIP that provides specific and unambiguous goals, timelines and milestones for achieving the goals. Only after the faculty member has clearly not achieved these goals or when a faculty member chooses not to enter into a PIP </w:t>
      </w:r>
      <w:r>
        <w:t>will</w:t>
      </w:r>
      <w:r w:rsidRPr="00647B8C">
        <w:t xml:space="preserve"> dismissal for cause be considered.</w:t>
      </w:r>
    </w:p>
    <w:p w14:paraId="76512284" w14:textId="0ECA88FF" w:rsidR="00EE1E84" w:rsidRPr="00EE1E84" w:rsidRDefault="00EE1E84" w:rsidP="00484007">
      <w:pPr>
        <w:pStyle w:val="Subsection"/>
      </w:pPr>
      <w:r w:rsidRPr="00EE1E84">
        <w:lastRenderedPageBreak/>
        <w:t xml:space="preserve">The </w:t>
      </w:r>
      <w:r>
        <w:t>PIP</w:t>
      </w:r>
      <w:r w:rsidRPr="00EE1E84">
        <w:t xml:space="preserve"> </w:t>
      </w:r>
      <w:r>
        <w:t>shall</w:t>
      </w:r>
      <w:r w:rsidRPr="00EE1E84">
        <w:t xml:space="preserve"> </w:t>
      </w:r>
      <w:r>
        <w:t xml:space="preserve">be </w:t>
      </w:r>
      <w:r w:rsidRPr="00EE1E84">
        <w:t xml:space="preserve">formulated by the </w:t>
      </w:r>
      <w:r>
        <w:t xml:space="preserve">school’s Associate Director for Faculty and Director. </w:t>
      </w:r>
      <w:r w:rsidRPr="00EE1E84">
        <w:t xml:space="preserve">The faculty member </w:t>
      </w:r>
      <w:r>
        <w:t>shall</w:t>
      </w:r>
      <w:r w:rsidRPr="00EE1E84">
        <w:t xml:space="preserve"> have the opportunity to provide input. The PIP </w:t>
      </w:r>
      <w:r>
        <w:t>will identify, at a minimum</w:t>
      </w:r>
      <w:r w:rsidRPr="00EE1E84">
        <w:t>:</w:t>
      </w:r>
    </w:p>
    <w:p w14:paraId="21A615A5" w14:textId="0AF65650" w:rsidR="00EE1E84" w:rsidRPr="00EE1E84" w:rsidRDefault="00EE1E84" w:rsidP="00484007">
      <w:pPr>
        <w:pStyle w:val="SubSubSection"/>
      </w:pPr>
      <w:r>
        <w:t>T</w:t>
      </w:r>
      <w:r w:rsidRPr="00EE1E84">
        <w:t>he specific deficiencies that led to the unsatisfactory performance rating</w:t>
      </w:r>
      <w:r>
        <w:t>;</w:t>
      </w:r>
    </w:p>
    <w:p w14:paraId="7B991FCC" w14:textId="0BA70537" w:rsidR="00EE1E84" w:rsidRPr="00EE1E84" w:rsidRDefault="00EE1E84" w:rsidP="00484007">
      <w:pPr>
        <w:pStyle w:val="SubSubSection"/>
      </w:pPr>
      <w:r>
        <w:t>S</w:t>
      </w:r>
      <w:r w:rsidRPr="00EE1E84">
        <w:t>pecific goals or outcomes that are needed to remedy the deficiencies</w:t>
      </w:r>
      <w:r>
        <w:t>;</w:t>
      </w:r>
    </w:p>
    <w:p w14:paraId="3C65D28A" w14:textId="207846FB" w:rsidR="00EE1E84" w:rsidRPr="00EE1E84" w:rsidRDefault="00EE1E84" w:rsidP="00484007">
      <w:pPr>
        <w:pStyle w:val="SubSubSection"/>
      </w:pPr>
      <w:r>
        <w:t>A</w:t>
      </w:r>
      <w:r w:rsidRPr="00EE1E84">
        <w:t>n outline of activities to be undertaken to achieve the outcomes</w:t>
      </w:r>
      <w:r>
        <w:t>;</w:t>
      </w:r>
    </w:p>
    <w:p w14:paraId="294AD4AC" w14:textId="7DAB6E8A" w:rsidR="00EE1E84" w:rsidRPr="00EE1E84" w:rsidRDefault="00EE1E84" w:rsidP="00484007">
      <w:pPr>
        <w:pStyle w:val="SubSubSection"/>
      </w:pPr>
      <w:r>
        <w:t>T</w:t>
      </w:r>
      <w:r w:rsidRPr="00EE1E84">
        <w:t>he timeframe within which the deficiencies are to be rectified. Typically, this is one academic year. In those rare circumstances where the nature of the deficiency cannot be fully remedied in one year, the duration of the plan may go beyond one year. Any plan that exceeds one year must be approved by the Office of the Executive Vice Presiden</w:t>
      </w:r>
      <w:r>
        <w:t>t and Provost of the University;</w:t>
      </w:r>
    </w:p>
    <w:p w14:paraId="36CD8A79" w14:textId="34BC9966" w:rsidR="00EE1E84" w:rsidRPr="00EE1E84" w:rsidRDefault="00EE1E84" w:rsidP="00484007">
      <w:pPr>
        <w:pStyle w:val="SubSubSection"/>
      </w:pPr>
      <w:r>
        <w:t>M</w:t>
      </w:r>
      <w:r w:rsidRPr="00EE1E84">
        <w:t>ilestones with specific criteria so that progress toward goals or outcom</w:t>
      </w:r>
      <w:r>
        <w:t>es can be measured periodically; and</w:t>
      </w:r>
    </w:p>
    <w:p w14:paraId="06462272" w14:textId="63A36930" w:rsidR="00EE1E84" w:rsidRDefault="00EE1E84" w:rsidP="00484007">
      <w:pPr>
        <w:pStyle w:val="SubSubSection"/>
      </w:pPr>
      <w:r>
        <w:t>R</w:t>
      </w:r>
      <w:r w:rsidRPr="00EE1E84">
        <w:t>easonable resources that can be made available to assist the faculty memb</w:t>
      </w:r>
      <w:r>
        <w:t>er in the achievement of goals.</w:t>
      </w:r>
    </w:p>
    <w:p w14:paraId="049730F1" w14:textId="4532C639" w:rsidR="00416D5C" w:rsidRDefault="00416D5C" w:rsidP="00416D5C">
      <w:pPr>
        <w:pStyle w:val="Subsection"/>
      </w:pPr>
      <w:r w:rsidRPr="00416D5C">
        <w:t xml:space="preserve">Where appropriate, the PIP may lead to the distribution of a </w:t>
      </w:r>
      <w:r>
        <w:t>tenured</w:t>
      </w:r>
      <w:r w:rsidRPr="00416D5C">
        <w:t xml:space="preserve"> faculty member’s </w:t>
      </w:r>
      <w:proofErr w:type="gramStart"/>
      <w:r w:rsidRPr="00416D5C">
        <w:t xml:space="preserve">load  </w:t>
      </w:r>
      <w:r>
        <w:t>being</w:t>
      </w:r>
      <w:proofErr w:type="gramEnd"/>
      <w:r>
        <w:t xml:space="preserve"> significantly altered to align expectations with strengths and abilities</w:t>
      </w:r>
      <w:r w:rsidRPr="00416D5C">
        <w:t>.</w:t>
      </w:r>
    </w:p>
    <w:p w14:paraId="3AA19FAA" w14:textId="2B87676B" w:rsidR="00E47C85" w:rsidRPr="00E47C85" w:rsidRDefault="00E47C85" w:rsidP="00484007">
      <w:pPr>
        <w:pStyle w:val="Subsection"/>
      </w:pPr>
      <w:r w:rsidRPr="00E47C85">
        <w:t xml:space="preserve">Once a </w:t>
      </w:r>
      <w:r>
        <w:t>PIP</w:t>
      </w:r>
      <w:r w:rsidRPr="00E47C85">
        <w:t xml:space="preserve"> has been established, progress will be monitored with specific regard to </w:t>
      </w:r>
      <w:r>
        <w:t xml:space="preserve">established milestones. </w:t>
      </w:r>
      <w:r w:rsidRPr="00E47C85">
        <w:t xml:space="preserve">A three-person committee </w:t>
      </w:r>
      <w:r>
        <w:t>selected by the school Director will have</w:t>
      </w:r>
      <w:r w:rsidRPr="00E47C85">
        <w:t xml:space="preserve"> the responsibility to monitor progress. At the completion of each milestone date, progress will be reported to the </w:t>
      </w:r>
      <w:r>
        <w:t>school Director</w:t>
      </w:r>
      <w:r w:rsidRPr="00E47C85">
        <w:t xml:space="preserve">. Should the appropriate progress toward goals as measured by the specific criteria previously established not be met, the </w:t>
      </w:r>
      <w:r>
        <w:t>Director</w:t>
      </w:r>
      <w:r w:rsidRPr="00E47C85">
        <w:t xml:space="preserve"> may exercise the option to initiate the dismissal for cause process.</w:t>
      </w:r>
    </w:p>
    <w:p w14:paraId="3B528A21" w14:textId="4FAE31DF" w:rsidR="00E47C85" w:rsidRDefault="00E47C85" w:rsidP="00484007">
      <w:pPr>
        <w:pStyle w:val="Subsection"/>
      </w:pPr>
      <w:r w:rsidRPr="00E47C85">
        <w:t xml:space="preserve">The PIP is completed when the faculty member has achieved the goals or outcomes specified </w:t>
      </w:r>
      <w:r>
        <w:t>in the plan</w:t>
      </w:r>
      <w:r w:rsidRPr="00E47C85">
        <w:t xml:space="preserve">, or when the time allotted to the plan has expired. If the PIP is completed successfully, the faculty member will return to the normal annual performance evaluation process. If the goals and outcomes are not achieved by the expiration of the PIP, the </w:t>
      </w:r>
      <w:r>
        <w:t>school Director</w:t>
      </w:r>
      <w:r w:rsidRPr="00E47C85">
        <w:t xml:space="preserve"> may exercise the option to initiate the dismissal for cause process. In either case, a final report will be made the faculty member and the </w:t>
      </w:r>
      <w:r>
        <w:t>school Director</w:t>
      </w:r>
      <w:r w:rsidRPr="00E47C85">
        <w:t>.</w:t>
      </w:r>
    </w:p>
    <w:p w14:paraId="454C64EB" w14:textId="77777777" w:rsidR="00E47C85" w:rsidRDefault="00E47C85" w:rsidP="00484007">
      <w:pPr>
        <w:pStyle w:val="Subsection"/>
      </w:pPr>
      <w:r>
        <w:t xml:space="preserve">For more information, see: </w:t>
      </w:r>
    </w:p>
    <w:p w14:paraId="193C6381" w14:textId="1318288B" w:rsidR="00E47C85" w:rsidRDefault="00260F79" w:rsidP="00484007">
      <w:pPr>
        <w:pStyle w:val="SubSubSection"/>
      </w:pPr>
      <w:hyperlink r:id="rId16" w:history="1">
        <w:r w:rsidR="00E47C85" w:rsidRPr="00E47C85">
          <w:rPr>
            <w:rStyle w:val="Hyperlink"/>
          </w:rPr>
          <w:t>P7: Post-Tenure Review Process</w:t>
        </w:r>
      </w:hyperlink>
    </w:p>
    <w:p w14:paraId="708AEBFA" w14:textId="6DEE9DAA" w:rsidR="00E47C85" w:rsidRPr="00E47C85" w:rsidRDefault="00260F79" w:rsidP="00484007">
      <w:pPr>
        <w:pStyle w:val="SubSubSection"/>
      </w:pPr>
      <w:hyperlink r:id="rId17" w:history="1">
        <w:r w:rsidR="00E47C85" w:rsidRPr="00E47C85">
          <w:rPr>
            <w:rStyle w:val="Hyperlink"/>
          </w:rPr>
          <w:t>Principles for post-tenure review at ASU</w:t>
        </w:r>
      </w:hyperlink>
    </w:p>
    <w:p w14:paraId="4696D97B" w14:textId="77777777" w:rsidR="00CF4815" w:rsidRDefault="00CF4815" w:rsidP="00990A1E">
      <w:pPr>
        <w:pStyle w:val="Sections"/>
        <w:numPr>
          <w:ilvl w:val="0"/>
          <w:numId w:val="0"/>
        </w:numPr>
      </w:pPr>
    </w:p>
    <w:p w14:paraId="36A5CB30" w14:textId="524548CC" w:rsidR="00FF4616" w:rsidRDefault="00FF4616" w:rsidP="00990A1E">
      <w:pPr>
        <w:pStyle w:val="Sections"/>
      </w:pPr>
      <w:r>
        <w:t>Appeals</w:t>
      </w:r>
    </w:p>
    <w:p w14:paraId="39335FE3" w14:textId="3137BFBB" w:rsidR="00B918AD" w:rsidRPr="00B918AD" w:rsidRDefault="00B918AD" w:rsidP="00484007">
      <w:pPr>
        <w:pStyle w:val="Subsection"/>
      </w:pPr>
      <w:r>
        <w:t xml:space="preserve">As per </w:t>
      </w:r>
      <w:hyperlink r:id="rId18" w:history="1">
        <w:r w:rsidRPr="00B918AD">
          <w:rPr>
            <w:rStyle w:val="Hyperlink"/>
          </w:rPr>
          <w:t>ACD 506-10</w:t>
        </w:r>
      </w:hyperlink>
      <w:r>
        <w:t xml:space="preserve">, </w:t>
      </w:r>
      <w:r w:rsidRPr="00B918AD">
        <w:t>performance evaluation may be appealed to the next higher administrator above the evaluator. The request for an appeal must be made within 30 working days (excluding summer) of receipt of the evaluation. The final decision lies with the appeal review administrator who must complete the review and notify the appellant within 30 working days (excluding summer) after the receipt of the appeal.</w:t>
      </w:r>
    </w:p>
    <w:p w14:paraId="02F2643B" w14:textId="77777777" w:rsidR="00B918AD" w:rsidRPr="00B918AD" w:rsidRDefault="00B918AD" w:rsidP="00484007">
      <w:pPr>
        <w:pStyle w:val="Subsection"/>
      </w:pPr>
      <w:r w:rsidRPr="00B918AD">
        <w:lastRenderedPageBreak/>
        <w:t>Individuals may also file a complaint regarding their annual performance evaluation in accord with </w:t>
      </w:r>
      <w:hyperlink r:id="rId19" w:history="1">
        <w:r w:rsidRPr="00B918AD">
          <w:rPr>
            <w:rStyle w:val="Hyperlink"/>
          </w:rPr>
          <w:t>ACD 401</w:t>
        </w:r>
      </w:hyperlink>
      <w:r w:rsidRPr="00B918AD">
        <w:t>, “Nondiscrimination, Anti-Harassment, and Nonretaliation.”</w:t>
      </w:r>
    </w:p>
    <w:p w14:paraId="5367971E" w14:textId="77777777" w:rsidR="00314554" w:rsidRDefault="00314554" w:rsidP="00484007">
      <w:pPr>
        <w:pStyle w:val="Subsection"/>
        <w:numPr>
          <w:ilvl w:val="0"/>
          <w:numId w:val="0"/>
        </w:numPr>
        <w:ind w:left="18"/>
      </w:pPr>
    </w:p>
    <w:p w14:paraId="39332D46" w14:textId="77777777" w:rsidR="007738DD" w:rsidRPr="007738DD" w:rsidRDefault="007738DD" w:rsidP="007738DD"/>
    <w:sectPr w:rsidR="007738DD" w:rsidRPr="007738DD" w:rsidSect="0010685C">
      <w:headerReference w:type="default"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87A1" w14:textId="77777777" w:rsidR="004A02AF" w:rsidRDefault="004A02AF" w:rsidP="008D3C11">
      <w:r>
        <w:separator/>
      </w:r>
    </w:p>
  </w:endnote>
  <w:endnote w:type="continuationSeparator" w:id="0">
    <w:p w14:paraId="3500A7F3" w14:textId="77777777" w:rsidR="004A02AF" w:rsidRDefault="004A02AF" w:rsidP="008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324001"/>
      <w:docPartObj>
        <w:docPartGallery w:val="Page Numbers (Bottom of Page)"/>
        <w:docPartUnique/>
      </w:docPartObj>
    </w:sdtPr>
    <w:sdtEndPr>
      <w:rPr>
        <w:noProof/>
      </w:rPr>
    </w:sdtEndPr>
    <w:sdtContent>
      <w:p w14:paraId="039E0C4F" w14:textId="0F7054EA" w:rsidR="0010685C" w:rsidRDefault="001068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B148CA" w14:textId="77777777" w:rsidR="0010685C" w:rsidRDefault="0010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B131" w14:textId="77777777" w:rsidR="0010685C" w:rsidRDefault="0010685C" w:rsidP="0010685C">
    <w:pPr>
      <w:pStyle w:val="Footer"/>
      <w:jc w:val="center"/>
      <w:rPr>
        <w:rFonts w:ascii="Arial" w:hAnsi="Arial" w:cs="Arial"/>
        <w:b/>
        <w:color w:val="990000"/>
        <w:sz w:val="16"/>
        <w:szCs w:val="18"/>
      </w:rPr>
    </w:pPr>
    <w:r>
      <w:rPr>
        <w:rFonts w:ascii="Arial" w:hAnsi="Arial" w:cs="Arial"/>
        <w:b/>
        <w:color w:val="990000"/>
        <w:sz w:val="16"/>
        <w:szCs w:val="18"/>
      </w:rPr>
      <w:t xml:space="preserve">Office of the University Provost </w:t>
    </w:r>
  </w:p>
  <w:p w14:paraId="17C466F7" w14:textId="77777777" w:rsidR="0010685C" w:rsidRDefault="0010685C" w:rsidP="0010685C">
    <w:pPr>
      <w:pStyle w:val="Footer"/>
      <w:jc w:val="center"/>
      <w:rPr>
        <w:rFonts w:ascii="Arial" w:hAnsi="Arial" w:cs="Arial"/>
        <w:color w:val="990000"/>
        <w:sz w:val="14"/>
        <w:szCs w:val="16"/>
      </w:rPr>
    </w:pPr>
  </w:p>
  <w:p w14:paraId="64AED41D" w14:textId="77777777" w:rsidR="0010685C" w:rsidRDefault="0010685C" w:rsidP="0010685C">
    <w:pPr>
      <w:pStyle w:val="Footer"/>
      <w:jc w:val="center"/>
      <w:rPr>
        <w:rFonts w:ascii="Arial" w:hAnsi="Arial" w:cs="Arial"/>
        <w:color w:val="990000"/>
        <w:sz w:val="14"/>
        <w:szCs w:val="16"/>
      </w:rPr>
    </w:pPr>
    <w:r>
      <w:rPr>
        <w:rFonts w:ascii="Arial" w:hAnsi="Arial" w:cs="Arial"/>
        <w:color w:val="990000"/>
        <w:sz w:val="14"/>
        <w:szCs w:val="16"/>
      </w:rPr>
      <w:t>300 East University Drive</w:t>
    </w:r>
  </w:p>
  <w:p w14:paraId="220C5A31" w14:textId="77777777" w:rsidR="0010685C" w:rsidRDefault="0010685C" w:rsidP="0010685C">
    <w:pPr>
      <w:pStyle w:val="Footer"/>
      <w:jc w:val="center"/>
      <w:rPr>
        <w:rFonts w:ascii="Arial" w:hAnsi="Arial" w:cs="Arial"/>
        <w:color w:val="990000"/>
        <w:sz w:val="14"/>
        <w:szCs w:val="16"/>
      </w:rPr>
    </w:pPr>
    <w:r>
      <w:rPr>
        <w:rFonts w:ascii="Arial" w:hAnsi="Arial" w:cs="Arial"/>
        <w:color w:val="990000"/>
        <w:sz w:val="14"/>
        <w:szCs w:val="16"/>
      </w:rPr>
      <w:t>P.O. Box 877805 Tempe, AZ 85287-7805</w:t>
    </w:r>
  </w:p>
  <w:p w14:paraId="4EECD4BA" w14:textId="77777777" w:rsidR="0010685C" w:rsidRDefault="0010685C" w:rsidP="0010685C">
    <w:pPr>
      <w:pStyle w:val="Footer"/>
      <w:jc w:val="center"/>
      <w:rPr>
        <w:rFonts w:ascii="Arial" w:hAnsi="Arial" w:cs="Arial"/>
        <w:color w:val="990000"/>
        <w:sz w:val="14"/>
        <w:szCs w:val="16"/>
      </w:rPr>
    </w:pPr>
    <w:r>
      <w:rPr>
        <w:rFonts w:ascii="Arial" w:hAnsi="Arial" w:cs="Arial"/>
        <w:color w:val="990000"/>
        <w:sz w:val="14"/>
        <w:szCs w:val="16"/>
      </w:rPr>
      <w:t>(480) 965-4995 Fax: (480) 965-0785</w:t>
    </w:r>
  </w:p>
  <w:p w14:paraId="6EA9D5FC" w14:textId="77777777" w:rsidR="0010685C" w:rsidRDefault="0010685C" w:rsidP="0010685C">
    <w:pPr>
      <w:pStyle w:val="Footer"/>
      <w:jc w:val="center"/>
      <w:rPr>
        <w:rFonts w:ascii="Arial" w:hAnsi="Arial" w:cs="Arial"/>
        <w:sz w:val="20"/>
        <w:szCs w:val="16"/>
      </w:rPr>
    </w:pPr>
    <w:r>
      <w:rPr>
        <w:rFonts w:ascii="Arial" w:hAnsi="Arial" w:cs="Arial"/>
        <w:color w:val="990000"/>
        <w:sz w:val="14"/>
        <w:szCs w:val="16"/>
      </w:rPr>
      <w:t>https://provost.asu.edu/</w:t>
    </w:r>
  </w:p>
  <w:p w14:paraId="04830C67" w14:textId="77777777" w:rsidR="0010685C" w:rsidRDefault="0010685C" w:rsidP="0010685C">
    <w:pPr>
      <w:pStyle w:val="Footer"/>
      <w:rPr>
        <w:rFonts w:asciiTheme="minorHAnsi" w:hAnsiTheme="minorHAnsi" w:cstheme="minorBidi"/>
        <w:sz w:val="22"/>
        <w:szCs w:val="22"/>
      </w:rPr>
    </w:pPr>
  </w:p>
  <w:p w14:paraId="1A1E7C8C" w14:textId="5ECF78E6" w:rsidR="0010685C" w:rsidRPr="0010685C" w:rsidRDefault="0010685C" w:rsidP="0010685C">
    <w:pPr>
      <w:pStyle w:val="Footer"/>
      <w:jc w:val="right"/>
      <w:rPr>
        <w:sz w:val="16"/>
      </w:rPr>
    </w:pPr>
    <w:r>
      <w:rPr>
        <w:sz w:val="16"/>
      </w:rPr>
      <w:fldChar w:fldCharType="begin"/>
    </w:r>
    <w:r>
      <w:rPr>
        <w:sz w:val="16"/>
      </w:rPr>
      <w:instrText xml:space="preserve"> DATE \@ "M/d/yyyy" </w:instrText>
    </w:r>
    <w:r>
      <w:rPr>
        <w:sz w:val="16"/>
      </w:rPr>
      <w:fldChar w:fldCharType="separate"/>
    </w:r>
    <w:r>
      <w:rPr>
        <w:noProof/>
        <w:sz w:val="16"/>
      </w:rPr>
      <w:t>11/19/2019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85BB" w14:textId="77777777" w:rsidR="004A02AF" w:rsidRDefault="004A02AF" w:rsidP="008D3C11">
      <w:r>
        <w:separator/>
      </w:r>
    </w:p>
  </w:footnote>
  <w:footnote w:type="continuationSeparator" w:id="0">
    <w:p w14:paraId="45BE9189" w14:textId="77777777" w:rsidR="004A02AF" w:rsidRDefault="004A02AF" w:rsidP="008D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B8DF" w14:textId="73F91EAD" w:rsidR="006E326A" w:rsidRPr="008D3C11" w:rsidRDefault="008A1209" w:rsidP="008D3C11">
    <w:pPr>
      <w:pStyle w:val="Header"/>
      <w:rPr>
        <w:rFonts w:ascii="Arial" w:hAnsi="Arial" w:cs="Arial"/>
      </w:rPr>
    </w:pPr>
    <w:r>
      <w:rPr>
        <w:rFonts w:ascii="Arial" w:hAnsi="Arial" w:cs="Arial"/>
      </w:rPr>
      <w:t>Version 1.</w:t>
    </w:r>
    <w:r w:rsidR="00A73189">
      <w:rPr>
        <w:rFonts w:ascii="Arial" w:hAnsi="Arial" w:cs="Arial"/>
      </w:rPr>
      <w:t>1</w:t>
    </w:r>
    <w:r w:rsidR="006E326A">
      <w:rPr>
        <w:rFonts w:ascii="Arial" w:hAnsi="Arial" w:cs="Arial"/>
      </w:rPr>
      <w:tab/>
    </w:r>
    <w:r w:rsidR="006E326A">
      <w:rPr>
        <w:rFonts w:ascii="Arial" w:hAnsi="Arial" w:cs="Arial"/>
      </w:rPr>
      <w:tab/>
    </w:r>
    <w:r w:rsidR="00641698">
      <w:rPr>
        <w:rFonts w:ascii="Arial" w:hAnsi="Arial" w:cs="Arial"/>
      </w:rPr>
      <w:t xml:space="preserve">November </w:t>
    </w:r>
    <w:r w:rsidR="00A23A9C">
      <w:rPr>
        <w:rFonts w:ascii="Arial" w:hAnsi="Arial" w:cs="Arial"/>
      </w:rPr>
      <w:t>1</w:t>
    </w:r>
    <w:r w:rsidR="00A73189">
      <w:rPr>
        <w:rFonts w:ascii="Arial" w:hAnsi="Arial" w:cs="Arial"/>
      </w:rPr>
      <w:t>8</w:t>
    </w:r>
    <w:r w:rsidR="006E326A">
      <w:rPr>
        <w:rFonts w:ascii="Arial" w:hAnsi="Arial" w:cs="Arial"/>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19EE" w14:textId="0C73F2A7" w:rsidR="0010685C" w:rsidRDefault="0010685C" w:rsidP="0010685C">
    <w:pPr>
      <w:pStyle w:val="Header"/>
      <w:jc w:val="center"/>
    </w:pPr>
    <w:r>
      <w:rPr>
        <w:noProof/>
      </w:rPr>
      <w:drawing>
        <wp:inline distT="0" distB="0" distL="0" distR="0" wp14:anchorId="5730B9A6" wp14:editId="034EEC00">
          <wp:extent cx="1898650" cy="552450"/>
          <wp:effectExtent l="0" t="0" r="6350" b="0"/>
          <wp:docPr id="1" name="Picture 1" descr="ASU MG Logo"/>
          <wp:cNvGraphicFramePr/>
          <a:graphic xmlns:a="http://schemas.openxmlformats.org/drawingml/2006/main">
            <a:graphicData uri="http://schemas.openxmlformats.org/drawingml/2006/picture">
              <pic:pic xmlns:pic="http://schemas.openxmlformats.org/drawingml/2006/picture">
                <pic:nvPicPr>
                  <pic:cNvPr id="1" name="Picture 1" descr="ASU MG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E00F7"/>
    <w:multiLevelType w:val="multilevel"/>
    <w:tmpl w:val="DD80171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60558"/>
    <w:multiLevelType w:val="multilevel"/>
    <w:tmpl w:val="26D625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8604B3"/>
    <w:multiLevelType w:val="hybridMultilevel"/>
    <w:tmpl w:val="9CF84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44D"/>
    <w:multiLevelType w:val="multilevel"/>
    <w:tmpl w:val="26D625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7B0923"/>
    <w:multiLevelType w:val="multilevel"/>
    <w:tmpl w:val="7A6AC3D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9094B"/>
    <w:multiLevelType w:val="multilevel"/>
    <w:tmpl w:val="B6D469F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54765"/>
    <w:multiLevelType w:val="multilevel"/>
    <w:tmpl w:val="9788CCC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CA25AD"/>
    <w:multiLevelType w:val="multilevel"/>
    <w:tmpl w:val="28886994"/>
    <w:lvl w:ilvl="0">
      <w:start w:val="1"/>
      <w:numFmt w:val="decimal"/>
      <w:lvlText w:val="%1."/>
      <w:lvlJc w:val="left"/>
      <w:pPr>
        <w:tabs>
          <w:tab w:val="num" w:pos="360"/>
        </w:tabs>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224"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DD62E0"/>
    <w:multiLevelType w:val="multilevel"/>
    <w:tmpl w:val="0B5C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42A22"/>
    <w:multiLevelType w:val="multilevel"/>
    <w:tmpl w:val="125804B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1080"/>
        </w:tabs>
        <w:ind w:left="720" w:firstLine="0"/>
      </w:pPr>
      <w:rPr>
        <w:rFonts w:hint="default"/>
      </w:rPr>
    </w:lvl>
    <w:lvl w:ilvl="3">
      <w:start w:val="1"/>
      <w:numFmt w:val="decimal"/>
      <w:lvlText w:val="%1.%2.%3.%4."/>
      <w:lvlJc w:val="left"/>
      <w:pPr>
        <w:tabs>
          <w:tab w:val="num" w:pos="1440"/>
        </w:tabs>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6235D2"/>
    <w:multiLevelType w:val="multilevel"/>
    <w:tmpl w:val="4684B6C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1080"/>
        </w:tabs>
        <w:ind w:left="720" w:firstLine="0"/>
      </w:pPr>
      <w:rPr>
        <w:rFonts w:hint="default"/>
      </w:rPr>
    </w:lvl>
    <w:lvl w:ilvl="3">
      <w:start w:val="1"/>
      <w:numFmt w:val="decimal"/>
      <w:lvlText w:val="%1.%2.%3.%4."/>
      <w:lvlJc w:val="left"/>
      <w:pPr>
        <w:tabs>
          <w:tab w:val="num" w:pos="1440"/>
        </w:tabs>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AC36D7"/>
    <w:multiLevelType w:val="multilevel"/>
    <w:tmpl w:val="26D625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3307AC"/>
    <w:multiLevelType w:val="multilevel"/>
    <w:tmpl w:val="33CE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936B9C"/>
    <w:multiLevelType w:val="multilevel"/>
    <w:tmpl w:val="D618E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340F74"/>
    <w:multiLevelType w:val="multilevel"/>
    <w:tmpl w:val="0A4EB434"/>
    <w:lvl w:ilvl="0">
      <w:start w:val="1"/>
      <w:numFmt w:val="decimal"/>
      <w:lvlText w:val="%1."/>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224"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7423F8"/>
    <w:multiLevelType w:val="multilevel"/>
    <w:tmpl w:val="007AB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AE21DC"/>
    <w:multiLevelType w:val="multilevel"/>
    <w:tmpl w:val="D9FAF4E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E30452"/>
    <w:multiLevelType w:val="multilevel"/>
    <w:tmpl w:val="984AD412"/>
    <w:lvl w:ilvl="0">
      <w:start w:val="1"/>
      <w:numFmt w:val="decimal"/>
      <w:pStyle w:val="Sections"/>
      <w:lvlText w:val="%1."/>
      <w:lvlJc w:val="left"/>
      <w:pPr>
        <w:ind w:left="360" w:hanging="360"/>
      </w:pPr>
      <w:rPr>
        <w:rFonts w:hint="default"/>
      </w:rPr>
    </w:lvl>
    <w:lvl w:ilvl="1">
      <w:start w:val="1"/>
      <w:numFmt w:val="decimal"/>
      <w:pStyle w:val="Subsection"/>
      <w:lvlText w:val="%1.%2."/>
      <w:lvlJc w:val="left"/>
      <w:pPr>
        <w:ind w:left="792" w:hanging="432"/>
      </w:pPr>
      <w:rPr>
        <w:rFonts w:hint="default"/>
      </w:rPr>
    </w:lvl>
    <w:lvl w:ilvl="2">
      <w:start w:val="1"/>
      <w:numFmt w:val="decimal"/>
      <w:pStyle w:val="SubSubSectio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4131B4"/>
    <w:multiLevelType w:val="multilevel"/>
    <w:tmpl w:val="EAC65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16"/>
  </w:num>
  <w:num w:numId="4">
    <w:abstractNumId w:val="15"/>
  </w:num>
  <w:num w:numId="5">
    <w:abstractNumId w:val="8"/>
  </w:num>
  <w:num w:numId="6">
    <w:abstractNumId w:val="10"/>
  </w:num>
  <w:num w:numId="7">
    <w:abstractNumId w:val="1"/>
  </w:num>
  <w:num w:numId="8">
    <w:abstractNumId w:val="5"/>
  </w:num>
  <w:num w:numId="9">
    <w:abstractNumId w:val="6"/>
  </w:num>
  <w:num w:numId="10">
    <w:abstractNumId w:val="17"/>
  </w:num>
  <w:num w:numId="11">
    <w:abstractNumId w:val="7"/>
  </w:num>
  <w:num w:numId="12">
    <w:abstractNumId w:val="12"/>
  </w:num>
  <w:num w:numId="13">
    <w:abstractNumId w:val="4"/>
  </w:num>
  <w:num w:numId="14">
    <w:abstractNumId w:val="2"/>
  </w:num>
  <w:num w:numId="15">
    <w:abstractNumId w:val="14"/>
  </w:num>
  <w:num w:numId="16">
    <w:abstractNumId w:val="13"/>
  </w:num>
  <w:num w:numId="17">
    <w:abstractNumId w:val="19"/>
  </w:num>
  <w:num w:numId="18">
    <w:abstractNumId w:val="1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46"/>
    <w:rsid w:val="0000010E"/>
    <w:rsid w:val="00000AE0"/>
    <w:rsid w:val="00001E6A"/>
    <w:rsid w:val="00004251"/>
    <w:rsid w:val="00005CDC"/>
    <w:rsid w:val="00005F6D"/>
    <w:rsid w:val="00011574"/>
    <w:rsid w:val="0001405F"/>
    <w:rsid w:val="000159B9"/>
    <w:rsid w:val="0001619D"/>
    <w:rsid w:val="0002125F"/>
    <w:rsid w:val="0002243C"/>
    <w:rsid w:val="00024E1B"/>
    <w:rsid w:val="000253E2"/>
    <w:rsid w:val="00026F4B"/>
    <w:rsid w:val="000337B3"/>
    <w:rsid w:val="00033926"/>
    <w:rsid w:val="000448E5"/>
    <w:rsid w:val="000450A5"/>
    <w:rsid w:val="000508C8"/>
    <w:rsid w:val="00051D69"/>
    <w:rsid w:val="00055B37"/>
    <w:rsid w:val="000656CA"/>
    <w:rsid w:val="00067C5F"/>
    <w:rsid w:val="000706EA"/>
    <w:rsid w:val="00076294"/>
    <w:rsid w:val="00077AD6"/>
    <w:rsid w:val="00077FD6"/>
    <w:rsid w:val="000811A9"/>
    <w:rsid w:val="000907E7"/>
    <w:rsid w:val="000949B3"/>
    <w:rsid w:val="000961CA"/>
    <w:rsid w:val="000A28E6"/>
    <w:rsid w:val="000A2B1A"/>
    <w:rsid w:val="000A2E1C"/>
    <w:rsid w:val="000A655B"/>
    <w:rsid w:val="000B24AC"/>
    <w:rsid w:val="000B2564"/>
    <w:rsid w:val="000B480D"/>
    <w:rsid w:val="000B5E98"/>
    <w:rsid w:val="000C6467"/>
    <w:rsid w:val="000C6FE0"/>
    <w:rsid w:val="000D019D"/>
    <w:rsid w:val="000D26FC"/>
    <w:rsid w:val="000D282C"/>
    <w:rsid w:val="000D4692"/>
    <w:rsid w:val="000E18BB"/>
    <w:rsid w:val="000E316E"/>
    <w:rsid w:val="000E49A7"/>
    <w:rsid w:val="000F55B1"/>
    <w:rsid w:val="000F65FC"/>
    <w:rsid w:val="000F6AEA"/>
    <w:rsid w:val="001008B6"/>
    <w:rsid w:val="00101C48"/>
    <w:rsid w:val="0010685C"/>
    <w:rsid w:val="00106886"/>
    <w:rsid w:val="00110A1F"/>
    <w:rsid w:val="00112014"/>
    <w:rsid w:val="0011374C"/>
    <w:rsid w:val="001145C7"/>
    <w:rsid w:val="001152B4"/>
    <w:rsid w:val="00117DC4"/>
    <w:rsid w:val="001236FE"/>
    <w:rsid w:val="00124C9B"/>
    <w:rsid w:val="00124E37"/>
    <w:rsid w:val="00125527"/>
    <w:rsid w:val="0012624D"/>
    <w:rsid w:val="00127D72"/>
    <w:rsid w:val="00130155"/>
    <w:rsid w:val="00131867"/>
    <w:rsid w:val="001334C9"/>
    <w:rsid w:val="001346BC"/>
    <w:rsid w:val="00134C57"/>
    <w:rsid w:val="00137CC2"/>
    <w:rsid w:val="00142283"/>
    <w:rsid w:val="0015000E"/>
    <w:rsid w:val="00153897"/>
    <w:rsid w:val="00153D1A"/>
    <w:rsid w:val="00156773"/>
    <w:rsid w:val="00163138"/>
    <w:rsid w:val="00164172"/>
    <w:rsid w:val="00164C19"/>
    <w:rsid w:val="00166073"/>
    <w:rsid w:val="0016691F"/>
    <w:rsid w:val="0017180E"/>
    <w:rsid w:val="0017181A"/>
    <w:rsid w:val="0018425C"/>
    <w:rsid w:val="00186DD5"/>
    <w:rsid w:val="00190F77"/>
    <w:rsid w:val="0019741A"/>
    <w:rsid w:val="001A06C6"/>
    <w:rsid w:val="001A06EB"/>
    <w:rsid w:val="001A175F"/>
    <w:rsid w:val="001A32BE"/>
    <w:rsid w:val="001A42A5"/>
    <w:rsid w:val="001A7300"/>
    <w:rsid w:val="001A7F4A"/>
    <w:rsid w:val="001C10BD"/>
    <w:rsid w:val="001C4382"/>
    <w:rsid w:val="001C6E59"/>
    <w:rsid w:val="001D08BE"/>
    <w:rsid w:val="001D29A0"/>
    <w:rsid w:val="001D2BBC"/>
    <w:rsid w:val="001D2DF6"/>
    <w:rsid w:val="001E5BFC"/>
    <w:rsid w:val="001F1B31"/>
    <w:rsid w:val="001F5B15"/>
    <w:rsid w:val="00201291"/>
    <w:rsid w:val="0020158E"/>
    <w:rsid w:val="00206761"/>
    <w:rsid w:val="002071B5"/>
    <w:rsid w:val="00207360"/>
    <w:rsid w:val="00212C43"/>
    <w:rsid w:val="002213FF"/>
    <w:rsid w:val="00230188"/>
    <w:rsid w:val="0023205C"/>
    <w:rsid w:val="00232311"/>
    <w:rsid w:val="00240957"/>
    <w:rsid w:val="00243181"/>
    <w:rsid w:val="00244DD7"/>
    <w:rsid w:val="002527F4"/>
    <w:rsid w:val="00260F79"/>
    <w:rsid w:val="00263C84"/>
    <w:rsid w:val="00271F1B"/>
    <w:rsid w:val="002872F2"/>
    <w:rsid w:val="00293936"/>
    <w:rsid w:val="0029541B"/>
    <w:rsid w:val="00295F1E"/>
    <w:rsid w:val="002969FD"/>
    <w:rsid w:val="002970E7"/>
    <w:rsid w:val="002A4BB3"/>
    <w:rsid w:val="002A73E4"/>
    <w:rsid w:val="002A7F96"/>
    <w:rsid w:val="002B0255"/>
    <w:rsid w:val="002B3FBD"/>
    <w:rsid w:val="002B4FE9"/>
    <w:rsid w:val="002B6873"/>
    <w:rsid w:val="002B6A6C"/>
    <w:rsid w:val="002C1DC8"/>
    <w:rsid w:val="002C5385"/>
    <w:rsid w:val="002C5EE4"/>
    <w:rsid w:val="002C6E61"/>
    <w:rsid w:val="002D058A"/>
    <w:rsid w:val="002D4AD6"/>
    <w:rsid w:val="002D543C"/>
    <w:rsid w:val="002D7D16"/>
    <w:rsid w:val="002D7FD7"/>
    <w:rsid w:val="002E582B"/>
    <w:rsid w:val="002E6DE6"/>
    <w:rsid w:val="002E74EF"/>
    <w:rsid w:val="002F391C"/>
    <w:rsid w:val="002F3E8E"/>
    <w:rsid w:val="002F529C"/>
    <w:rsid w:val="002F73E4"/>
    <w:rsid w:val="00302191"/>
    <w:rsid w:val="00303BC1"/>
    <w:rsid w:val="003102CE"/>
    <w:rsid w:val="00314554"/>
    <w:rsid w:val="00327E3D"/>
    <w:rsid w:val="00330EF2"/>
    <w:rsid w:val="00334385"/>
    <w:rsid w:val="00337CBA"/>
    <w:rsid w:val="00342847"/>
    <w:rsid w:val="003454BA"/>
    <w:rsid w:val="003473A6"/>
    <w:rsid w:val="00356811"/>
    <w:rsid w:val="0035764C"/>
    <w:rsid w:val="00360439"/>
    <w:rsid w:val="003624C8"/>
    <w:rsid w:val="003636B5"/>
    <w:rsid w:val="003710FC"/>
    <w:rsid w:val="00372771"/>
    <w:rsid w:val="00372C67"/>
    <w:rsid w:val="00372D8F"/>
    <w:rsid w:val="003760C9"/>
    <w:rsid w:val="0039228E"/>
    <w:rsid w:val="00392393"/>
    <w:rsid w:val="00393CD8"/>
    <w:rsid w:val="00396D8F"/>
    <w:rsid w:val="003A2367"/>
    <w:rsid w:val="003A2CCE"/>
    <w:rsid w:val="003A38A6"/>
    <w:rsid w:val="003B0441"/>
    <w:rsid w:val="003B045D"/>
    <w:rsid w:val="003B0753"/>
    <w:rsid w:val="003B2815"/>
    <w:rsid w:val="003B3C1D"/>
    <w:rsid w:val="003B43E1"/>
    <w:rsid w:val="003B5C72"/>
    <w:rsid w:val="003C38D0"/>
    <w:rsid w:val="003C3DC7"/>
    <w:rsid w:val="003D07B3"/>
    <w:rsid w:val="003D348B"/>
    <w:rsid w:val="003D7680"/>
    <w:rsid w:val="003E0F17"/>
    <w:rsid w:val="003E1C7E"/>
    <w:rsid w:val="003E1D30"/>
    <w:rsid w:val="003E3EA2"/>
    <w:rsid w:val="003E42C9"/>
    <w:rsid w:val="003F123F"/>
    <w:rsid w:val="004006A3"/>
    <w:rsid w:val="00407700"/>
    <w:rsid w:val="00411F18"/>
    <w:rsid w:val="00413BB4"/>
    <w:rsid w:val="00416D5C"/>
    <w:rsid w:val="00420CC6"/>
    <w:rsid w:val="0042119B"/>
    <w:rsid w:val="00422828"/>
    <w:rsid w:val="00422FB2"/>
    <w:rsid w:val="004256BC"/>
    <w:rsid w:val="00425711"/>
    <w:rsid w:val="00425BEE"/>
    <w:rsid w:val="00427052"/>
    <w:rsid w:val="00432610"/>
    <w:rsid w:val="00442542"/>
    <w:rsid w:val="00443539"/>
    <w:rsid w:val="00446DE1"/>
    <w:rsid w:val="00451748"/>
    <w:rsid w:val="0045458C"/>
    <w:rsid w:val="0045516F"/>
    <w:rsid w:val="00455464"/>
    <w:rsid w:val="004558FE"/>
    <w:rsid w:val="00456B92"/>
    <w:rsid w:val="0045794D"/>
    <w:rsid w:val="0046090A"/>
    <w:rsid w:val="00461FD7"/>
    <w:rsid w:val="0046418F"/>
    <w:rsid w:val="004656DC"/>
    <w:rsid w:val="004672F5"/>
    <w:rsid w:val="00473B55"/>
    <w:rsid w:val="00480200"/>
    <w:rsid w:val="00484007"/>
    <w:rsid w:val="00490DC6"/>
    <w:rsid w:val="004917C4"/>
    <w:rsid w:val="00491AA0"/>
    <w:rsid w:val="004A02AF"/>
    <w:rsid w:val="004A6E39"/>
    <w:rsid w:val="004A74E3"/>
    <w:rsid w:val="004B02D1"/>
    <w:rsid w:val="004B366E"/>
    <w:rsid w:val="004B6F9B"/>
    <w:rsid w:val="004C0691"/>
    <w:rsid w:val="004C2DE8"/>
    <w:rsid w:val="004C54D2"/>
    <w:rsid w:val="004C650F"/>
    <w:rsid w:val="004D743E"/>
    <w:rsid w:val="004E05F0"/>
    <w:rsid w:val="004E2E2B"/>
    <w:rsid w:val="004E3B83"/>
    <w:rsid w:val="004E5A92"/>
    <w:rsid w:val="004F1E50"/>
    <w:rsid w:val="00500C90"/>
    <w:rsid w:val="00500F41"/>
    <w:rsid w:val="0050138F"/>
    <w:rsid w:val="00505A4F"/>
    <w:rsid w:val="005121AB"/>
    <w:rsid w:val="00513634"/>
    <w:rsid w:val="0051659E"/>
    <w:rsid w:val="00517CE1"/>
    <w:rsid w:val="00521405"/>
    <w:rsid w:val="005334B1"/>
    <w:rsid w:val="005365FA"/>
    <w:rsid w:val="0054246D"/>
    <w:rsid w:val="00547CD6"/>
    <w:rsid w:val="0055042D"/>
    <w:rsid w:val="00553471"/>
    <w:rsid w:val="0055583E"/>
    <w:rsid w:val="00557426"/>
    <w:rsid w:val="0056125D"/>
    <w:rsid w:val="00563A35"/>
    <w:rsid w:val="00570653"/>
    <w:rsid w:val="0058224A"/>
    <w:rsid w:val="00590A0C"/>
    <w:rsid w:val="00590E0B"/>
    <w:rsid w:val="005921A1"/>
    <w:rsid w:val="005A14CB"/>
    <w:rsid w:val="005A219C"/>
    <w:rsid w:val="005A32E2"/>
    <w:rsid w:val="005A3F74"/>
    <w:rsid w:val="005B4060"/>
    <w:rsid w:val="005B461C"/>
    <w:rsid w:val="005C7018"/>
    <w:rsid w:val="005D721B"/>
    <w:rsid w:val="005E0A41"/>
    <w:rsid w:val="005E21B8"/>
    <w:rsid w:val="005E3654"/>
    <w:rsid w:val="005E41E0"/>
    <w:rsid w:val="005E65BF"/>
    <w:rsid w:val="005F1DF3"/>
    <w:rsid w:val="005F2145"/>
    <w:rsid w:val="005F2DB7"/>
    <w:rsid w:val="005F3F64"/>
    <w:rsid w:val="005F6A45"/>
    <w:rsid w:val="005F7BCB"/>
    <w:rsid w:val="006062F7"/>
    <w:rsid w:val="00607605"/>
    <w:rsid w:val="006077D8"/>
    <w:rsid w:val="00616C61"/>
    <w:rsid w:val="00617AAD"/>
    <w:rsid w:val="00621AD9"/>
    <w:rsid w:val="00624A5C"/>
    <w:rsid w:val="00632990"/>
    <w:rsid w:val="00636283"/>
    <w:rsid w:val="00641698"/>
    <w:rsid w:val="00641F1F"/>
    <w:rsid w:val="0064250D"/>
    <w:rsid w:val="00643025"/>
    <w:rsid w:val="00647B8C"/>
    <w:rsid w:val="0065095E"/>
    <w:rsid w:val="006514F3"/>
    <w:rsid w:val="0066110E"/>
    <w:rsid w:val="0066184E"/>
    <w:rsid w:val="00662BBF"/>
    <w:rsid w:val="00663D99"/>
    <w:rsid w:val="00672840"/>
    <w:rsid w:val="006737B3"/>
    <w:rsid w:val="00674B15"/>
    <w:rsid w:val="00677A16"/>
    <w:rsid w:val="006829FA"/>
    <w:rsid w:val="0068520C"/>
    <w:rsid w:val="0068555B"/>
    <w:rsid w:val="006858B2"/>
    <w:rsid w:val="00685D1D"/>
    <w:rsid w:val="00685FBE"/>
    <w:rsid w:val="00691358"/>
    <w:rsid w:val="00694853"/>
    <w:rsid w:val="00694DA5"/>
    <w:rsid w:val="00696A96"/>
    <w:rsid w:val="006A1057"/>
    <w:rsid w:val="006A444E"/>
    <w:rsid w:val="006A4959"/>
    <w:rsid w:val="006A5A5F"/>
    <w:rsid w:val="006A5A7E"/>
    <w:rsid w:val="006A62B0"/>
    <w:rsid w:val="006A6B1B"/>
    <w:rsid w:val="006B07EE"/>
    <w:rsid w:val="006B45C3"/>
    <w:rsid w:val="006C0AB6"/>
    <w:rsid w:val="006C0E46"/>
    <w:rsid w:val="006C2125"/>
    <w:rsid w:val="006C3C63"/>
    <w:rsid w:val="006D18C2"/>
    <w:rsid w:val="006D1CCA"/>
    <w:rsid w:val="006D1CEF"/>
    <w:rsid w:val="006D6C59"/>
    <w:rsid w:val="006D6CD7"/>
    <w:rsid w:val="006E326A"/>
    <w:rsid w:val="006F03FA"/>
    <w:rsid w:val="006F0D54"/>
    <w:rsid w:val="006F27FB"/>
    <w:rsid w:val="006F5768"/>
    <w:rsid w:val="006F6554"/>
    <w:rsid w:val="00706EAB"/>
    <w:rsid w:val="00715903"/>
    <w:rsid w:val="007238D0"/>
    <w:rsid w:val="00723DA9"/>
    <w:rsid w:val="00730831"/>
    <w:rsid w:val="00730B1D"/>
    <w:rsid w:val="00730B54"/>
    <w:rsid w:val="00732E44"/>
    <w:rsid w:val="007331CA"/>
    <w:rsid w:val="0073403D"/>
    <w:rsid w:val="00734669"/>
    <w:rsid w:val="00736BCE"/>
    <w:rsid w:val="00736EC3"/>
    <w:rsid w:val="00737112"/>
    <w:rsid w:val="007415C1"/>
    <w:rsid w:val="00744BC8"/>
    <w:rsid w:val="00746ED2"/>
    <w:rsid w:val="00750EF9"/>
    <w:rsid w:val="007513E7"/>
    <w:rsid w:val="00755C46"/>
    <w:rsid w:val="00771D4D"/>
    <w:rsid w:val="0077268C"/>
    <w:rsid w:val="007738DD"/>
    <w:rsid w:val="00777048"/>
    <w:rsid w:val="0078511B"/>
    <w:rsid w:val="00787C91"/>
    <w:rsid w:val="007907D4"/>
    <w:rsid w:val="00793332"/>
    <w:rsid w:val="00794951"/>
    <w:rsid w:val="007977AF"/>
    <w:rsid w:val="007978BF"/>
    <w:rsid w:val="007978E2"/>
    <w:rsid w:val="007A0D45"/>
    <w:rsid w:val="007A0EB2"/>
    <w:rsid w:val="007A1248"/>
    <w:rsid w:val="007B03C9"/>
    <w:rsid w:val="007B127A"/>
    <w:rsid w:val="007B69CB"/>
    <w:rsid w:val="007B6A6D"/>
    <w:rsid w:val="007B71F2"/>
    <w:rsid w:val="007B7A9C"/>
    <w:rsid w:val="007C0177"/>
    <w:rsid w:val="007C4087"/>
    <w:rsid w:val="007D3305"/>
    <w:rsid w:val="007D3A0B"/>
    <w:rsid w:val="007D503C"/>
    <w:rsid w:val="007D604B"/>
    <w:rsid w:val="007D6AA4"/>
    <w:rsid w:val="007E05CE"/>
    <w:rsid w:val="007E6591"/>
    <w:rsid w:val="007E73EF"/>
    <w:rsid w:val="007F0F1E"/>
    <w:rsid w:val="007F2712"/>
    <w:rsid w:val="007F56C3"/>
    <w:rsid w:val="007F76D2"/>
    <w:rsid w:val="00804593"/>
    <w:rsid w:val="00804B71"/>
    <w:rsid w:val="0080635E"/>
    <w:rsid w:val="00807F47"/>
    <w:rsid w:val="00811771"/>
    <w:rsid w:val="008124CF"/>
    <w:rsid w:val="008131BA"/>
    <w:rsid w:val="00814517"/>
    <w:rsid w:val="008237D8"/>
    <w:rsid w:val="008315A5"/>
    <w:rsid w:val="00831667"/>
    <w:rsid w:val="00835244"/>
    <w:rsid w:val="00835D6B"/>
    <w:rsid w:val="008369EF"/>
    <w:rsid w:val="00837389"/>
    <w:rsid w:val="00837E77"/>
    <w:rsid w:val="008403E9"/>
    <w:rsid w:val="00850684"/>
    <w:rsid w:val="0085112C"/>
    <w:rsid w:val="00851F79"/>
    <w:rsid w:val="00853686"/>
    <w:rsid w:val="00861408"/>
    <w:rsid w:val="0086202F"/>
    <w:rsid w:val="00862417"/>
    <w:rsid w:val="00862492"/>
    <w:rsid w:val="00866B28"/>
    <w:rsid w:val="00866D08"/>
    <w:rsid w:val="0087665A"/>
    <w:rsid w:val="0088134D"/>
    <w:rsid w:val="00884818"/>
    <w:rsid w:val="008851D8"/>
    <w:rsid w:val="00885BAF"/>
    <w:rsid w:val="00886926"/>
    <w:rsid w:val="00891A80"/>
    <w:rsid w:val="00897112"/>
    <w:rsid w:val="008A05D3"/>
    <w:rsid w:val="008A062D"/>
    <w:rsid w:val="008A1209"/>
    <w:rsid w:val="008A123B"/>
    <w:rsid w:val="008A4664"/>
    <w:rsid w:val="008A4AAC"/>
    <w:rsid w:val="008A64F4"/>
    <w:rsid w:val="008A65BA"/>
    <w:rsid w:val="008A7C6D"/>
    <w:rsid w:val="008B1039"/>
    <w:rsid w:val="008B4C30"/>
    <w:rsid w:val="008B4F31"/>
    <w:rsid w:val="008B5D90"/>
    <w:rsid w:val="008B7076"/>
    <w:rsid w:val="008B76BC"/>
    <w:rsid w:val="008C41A3"/>
    <w:rsid w:val="008C4219"/>
    <w:rsid w:val="008D220B"/>
    <w:rsid w:val="008D383D"/>
    <w:rsid w:val="008D3C11"/>
    <w:rsid w:val="008F4C8F"/>
    <w:rsid w:val="008F59CD"/>
    <w:rsid w:val="008F6DCE"/>
    <w:rsid w:val="00901EB0"/>
    <w:rsid w:val="009054FD"/>
    <w:rsid w:val="009109DF"/>
    <w:rsid w:val="00913318"/>
    <w:rsid w:val="009176C3"/>
    <w:rsid w:val="00921B68"/>
    <w:rsid w:val="00923694"/>
    <w:rsid w:val="00923EC6"/>
    <w:rsid w:val="009301CB"/>
    <w:rsid w:val="009306B0"/>
    <w:rsid w:val="00930884"/>
    <w:rsid w:val="00931086"/>
    <w:rsid w:val="00934F39"/>
    <w:rsid w:val="00936131"/>
    <w:rsid w:val="0094051F"/>
    <w:rsid w:val="00941AFD"/>
    <w:rsid w:val="00945D6F"/>
    <w:rsid w:val="00947AF0"/>
    <w:rsid w:val="0095093D"/>
    <w:rsid w:val="009513C3"/>
    <w:rsid w:val="009524EE"/>
    <w:rsid w:val="009543B4"/>
    <w:rsid w:val="009562DD"/>
    <w:rsid w:val="00956CB8"/>
    <w:rsid w:val="009608C5"/>
    <w:rsid w:val="009628BF"/>
    <w:rsid w:val="009671D2"/>
    <w:rsid w:val="00967D12"/>
    <w:rsid w:val="00975EB7"/>
    <w:rsid w:val="009774B5"/>
    <w:rsid w:val="0099005D"/>
    <w:rsid w:val="00990A1E"/>
    <w:rsid w:val="009934A9"/>
    <w:rsid w:val="00995366"/>
    <w:rsid w:val="009956F6"/>
    <w:rsid w:val="009A422B"/>
    <w:rsid w:val="009A7EA2"/>
    <w:rsid w:val="009B5F4C"/>
    <w:rsid w:val="009C00E5"/>
    <w:rsid w:val="009C4A32"/>
    <w:rsid w:val="009C7B0B"/>
    <w:rsid w:val="009D0956"/>
    <w:rsid w:val="009D22F2"/>
    <w:rsid w:val="009D4048"/>
    <w:rsid w:val="009D546B"/>
    <w:rsid w:val="009E02BC"/>
    <w:rsid w:val="009E2014"/>
    <w:rsid w:val="009E2C18"/>
    <w:rsid w:val="009E5BCE"/>
    <w:rsid w:val="009E5FD3"/>
    <w:rsid w:val="009F044C"/>
    <w:rsid w:val="009F0A1E"/>
    <w:rsid w:val="00A010C5"/>
    <w:rsid w:val="00A01652"/>
    <w:rsid w:val="00A071D0"/>
    <w:rsid w:val="00A07AB8"/>
    <w:rsid w:val="00A11117"/>
    <w:rsid w:val="00A14135"/>
    <w:rsid w:val="00A149F3"/>
    <w:rsid w:val="00A16787"/>
    <w:rsid w:val="00A2185B"/>
    <w:rsid w:val="00A23A9C"/>
    <w:rsid w:val="00A31A57"/>
    <w:rsid w:val="00A350AA"/>
    <w:rsid w:val="00A60259"/>
    <w:rsid w:val="00A62557"/>
    <w:rsid w:val="00A6263B"/>
    <w:rsid w:val="00A63A06"/>
    <w:rsid w:val="00A676DA"/>
    <w:rsid w:val="00A71031"/>
    <w:rsid w:val="00A71409"/>
    <w:rsid w:val="00A73189"/>
    <w:rsid w:val="00A746F2"/>
    <w:rsid w:val="00A76185"/>
    <w:rsid w:val="00A829EA"/>
    <w:rsid w:val="00A8340B"/>
    <w:rsid w:val="00A83845"/>
    <w:rsid w:val="00A8639A"/>
    <w:rsid w:val="00A90928"/>
    <w:rsid w:val="00A92F30"/>
    <w:rsid w:val="00AA1335"/>
    <w:rsid w:val="00AA2280"/>
    <w:rsid w:val="00AA5912"/>
    <w:rsid w:val="00AA6424"/>
    <w:rsid w:val="00AB5BC8"/>
    <w:rsid w:val="00AC0E03"/>
    <w:rsid w:val="00AC1B59"/>
    <w:rsid w:val="00AD1860"/>
    <w:rsid w:val="00AD7538"/>
    <w:rsid w:val="00AE0A98"/>
    <w:rsid w:val="00AE31D3"/>
    <w:rsid w:val="00AE6324"/>
    <w:rsid w:val="00AE6D9D"/>
    <w:rsid w:val="00AF7F07"/>
    <w:rsid w:val="00B1785D"/>
    <w:rsid w:val="00B20DBB"/>
    <w:rsid w:val="00B24DBA"/>
    <w:rsid w:val="00B27A93"/>
    <w:rsid w:val="00B43B0B"/>
    <w:rsid w:val="00B553EB"/>
    <w:rsid w:val="00B57C66"/>
    <w:rsid w:val="00B60315"/>
    <w:rsid w:val="00B62206"/>
    <w:rsid w:val="00B651A3"/>
    <w:rsid w:val="00B704B0"/>
    <w:rsid w:val="00B74163"/>
    <w:rsid w:val="00B74BD4"/>
    <w:rsid w:val="00B76D5B"/>
    <w:rsid w:val="00B77894"/>
    <w:rsid w:val="00B81FFF"/>
    <w:rsid w:val="00B841D9"/>
    <w:rsid w:val="00B853DF"/>
    <w:rsid w:val="00B918AD"/>
    <w:rsid w:val="00B9255A"/>
    <w:rsid w:val="00B956D8"/>
    <w:rsid w:val="00B958DF"/>
    <w:rsid w:val="00BA76A7"/>
    <w:rsid w:val="00BA7D98"/>
    <w:rsid w:val="00BB18E9"/>
    <w:rsid w:val="00BB3663"/>
    <w:rsid w:val="00BB45EB"/>
    <w:rsid w:val="00BC2500"/>
    <w:rsid w:val="00BC4F4D"/>
    <w:rsid w:val="00BC5E64"/>
    <w:rsid w:val="00BD01F6"/>
    <w:rsid w:val="00BD7001"/>
    <w:rsid w:val="00BD7A69"/>
    <w:rsid w:val="00BE1901"/>
    <w:rsid w:val="00BE2531"/>
    <w:rsid w:val="00BE31FE"/>
    <w:rsid w:val="00BF5267"/>
    <w:rsid w:val="00C01CEC"/>
    <w:rsid w:val="00C13166"/>
    <w:rsid w:val="00C13C04"/>
    <w:rsid w:val="00C16663"/>
    <w:rsid w:val="00C16ED5"/>
    <w:rsid w:val="00C21B7A"/>
    <w:rsid w:val="00C31EF4"/>
    <w:rsid w:val="00C331F7"/>
    <w:rsid w:val="00C406DA"/>
    <w:rsid w:val="00C44C75"/>
    <w:rsid w:val="00C4666D"/>
    <w:rsid w:val="00C530BA"/>
    <w:rsid w:val="00C53933"/>
    <w:rsid w:val="00C5518C"/>
    <w:rsid w:val="00C63F25"/>
    <w:rsid w:val="00C70D12"/>
    <w:rsid w:val="00C762FA"/>
    <w:rsid w:val="00C9240F"/>
    <w:rsid w:val="00C9781A"/>
    <w:rsid w:val="00CA3E03"/>
    <w:rsid w:val="00CB7095"/>
    <w:rsid w:val="00CC035B"/>
    <w:rsid w:val="00CC11C4"/>
    <w:rsid w:val="00CC15CA"/>
    <w:rsid w:val="00CC17F4"/>
    <w:rsid w:val="00CC1D9A"/>
    <w:rsid w:val="00CC6FC2"/>
    <w:rsid w:val="00CD2100"/>
    <w:rsid w:val="00CD6030"/>
    <w:rsid w:val="00CE5733"/>
    <w:rsid w:val="00CE5AA7"/>
    <w:rsid w:val="00CE5EF1"/>
    <w:rsid w:val="00CE6821"/>
    <w:rsid w:val="00CF1954"/>
    <w:rsid w:val="00CF4815"/>
    <w:rsid w:val="00CF6C72"/>
    <w:rsid w:val="00D01F57"/>
    <w:rsid w:val="00D04006"/>
    <w:rsid w:val="00D057DC"/>
    <w:rsid w:val="00D05A37"/>
    <w:rsid w:val="00D05F08"/>
    <w:rsid w:val="00D1317C"/>
    <w:rsid w:val="00D20FF9"/>
    <w:rsid w:val="00D2163D"/>
    <w:rsid w:val="00D33128"/>
    <w:rsid w:val="00D3340C"/>
    <w:rsid w:val="00D35D4E"/>
    <w:rsid w:val="00D405CA"/>
    <w:rsid w:val="00D452F3"/>
    <w:rsid w:val="00D45437"/>
    <w:rsid w:val="00D46276"/>
    <w:rsid w:val="00D50FF7"/>
    <w:rsid w:val="00D57119"/>
    <w:rsid w:val="00D6006F"/>
    <w:rsid w:val="00D62EF6"/>
    <w:rsid w:val="00D643C8"/>
    <w:rsid w:val="00D743F6"/>
    <w:rsid w:val="00D75BBF"/>
    <w:rsid w:val="00D779D4"/>
    <w:rsid w:val="00D835F4"/>
    <w:rsid w:val="00D91F82"/>
    <w:rsid w:val="00D947B2"/>
    <w:rsid w:val="00DA2FBE"/>
    <w:rsid w:val="00DA437A"/>
    <w:rsid w:val="00DA4F68"/>
    <w:rsid w:val="00DB0ABD"/>
    <w:rsid w:val="00DC107E"/>
    <w:rsid w:val="00DC3BD9"/>
    <w:rsid w:val="00DC6770"/>
    <w:rsid w:val="00DC6E3C"/>
    <w:rsid w:val="00DD1E6E"/>
    <w:rsid w:val="00DD4866"/>
    <w:rsid w:val="00DD7589"/>
    <w:rsid w:val="00DE4412"/>
    <w:rsid w:val="00DE4707"/>
    <w:rsid w:val="00DE5D13"/>
    <w:rsid w:val="00DE6F85"/>
    <w:rsid w:val="00DF2322"/>
    <w:rsid w:val="00DF639B"/>
    <w:rsid w:val="00DF6DA7"/>
    <w:rsid w:val="00E0460A"/>
    <w:rsid w:val="00E05F8D"/>
    <w:rsid w:val="00E06713"/>
    <w:rsid w:val="00E1043E"/>
    <w:rsid w:val="00E11B1A"/>
    <w:rsid w:val="00E12CB9"/>
    <w:rsid w:val="00E13781"/>
    <w:rsid w:val="00E13EB8"/>
    <w:rsid w:val="00E15D40"/>
    <w:rsid w:val="00E161E2"/>
    <w:rsid w:val="00E2136A"/>
    <w:rsid w:val="00E216A6"/>
    <w:rsid w:val="00E32702"/>
    <w:rsid w:val="00E34F8A"/>
    <w:rsid w:val="00E365CC"/>
    <w:rsid w:val="00E43BC7"/>
    <w:rsid w:val="00E448DC"/>
    <w:rsid w:val="00E455F1"/>
    <w:rsid w:val="00E45DD4"/>
    <w:rsid w:val="00E46074"/>
    <w:rsid w:val="00E47C85"/>
    <w:rsid w:val="00E63B7F"/>
    <w:rsid w:val="00E65B93"/>
    <w:rsid w:val="00E70C29"/>
    <w:rsid w:val="00E74B63"/>
    <w:rsid w:val="00E74C1F"/>
    <w:rsid w:val="00E768C7"/>
    <w:rsid w:val="00E772B3"/>
    <w:rsid w:val="00E77818"/>
    <w:rsid w:val="00E85C99"/>
    <w:rsid w:val="00E85FB0"/>
    <w:rsid w:val="00E94674"/>
    <w:rsid w:val="00E959C8"/>
    <w:rsid w:val="00E96212"/>
    <w:rsid w:val="00EA170B"/>
    <w:rsid w:val="00EA18C7"/>
    <w:rsid w:val="00EA2834"/>
    <w:rsid w:val="00EA555E"/>
    <w:rsid w:val="00EB236E"/>
    <w:rsid w:val="00EB24EC"/>
    <w:rsid w:val="00EB4511"/>
    <w:rsid w:val="00EB6953"/>
    <w:rsid w:val="00EC028A"/>
    <w:rsid w:val="00EC0DBE"/>
    <w:rsid w:val="00EC0E18"/>
    <w:rsid w:val="00EC481E"/>
    <w:rsid w:val="00ED2D97"/>
    <w:rsid w:val="00ED4684"/>
    <w:rsid w:val="00ED5CFF"/>
    <w:rsid w:val="00ED75ED"/>
    <w:rsid w:val="00EE1E84"/>
    <w:rsid w:val="00EE24CD"/>
    <w:rsid w:val="00EE5A2D"/>
    <w:rsid w:val="00EE6430"/>
    <w:rsid w:val="00EF580F"/>
    <w:rsid w:val="00F00D9C"/>
    <w:rsid w:val="00F00FEC"/>
    <w:rsid w:val="00F03723"/>
    <w:rsid w:val="00F07D39"/>
    <w:rsid w:val="00F07D84"/>
    <w:rsid w:val="00F12D04"/>
    <w:rsid w:val="00F16E26"/>
    <w:rsid w:val="00F24365"/>
    <w:rsid w:val="00F27D12"/>
    <w:rsid w:val="00F33109"/>
    <w:rsid w:val="00F3356A"/>
    <w:rsid w:val="00F343D1"/>
    <w:rsid w:val="00F3674A"/>
    <w:rsid w:val="00F37853"/>
    <w:rsid w:val="00F41648"/>
    <w:rsid w:val="00F5029C"/>
    <w:rsid w:val="00F511BB"/>
    <w:rsid w:val="00F52FE6"/>
    <w:rsid w:val="00F62407"/>
    <w:rsid w:val="00F6391D"/>
    <w:rsid w:val="00F67991"/>
    <w:rsid w:val="00F85559"/>
    <w:rsid w:val="00F86875"/>
    <w:rsid w:val="00F93126"/>
    <w:rsid w:val="00F970E7"/>
    <w:rsid w:val="00FA0015"/>
    <w:rsid w:val="00FB3B97"/>
    <w:rsid w:val="00FB3E62"/>
    <w:rsid w:val="00FB512A"/>
    <w:rsid w:val="00FB6D8C"/>
    <w:rsid w:val="00FC37CD"/>
    <w:rsid w:val="00FC5B60"/>
    <w:rsid w:val="00FD7F5F"/>
    <w:rsid w:val="00FE07EB"/>
    <w:rsid w:val="00FE497E"/>
    <w:rsid w:val="00FE5F8D"/>
    <w:rsid w:val="00FF4555"/>
    <w:rsid w:val="00FF4616"/>
    <w:rsid w:val="00FF4AE6"/>
    <w:rsid w:val="00FF5C6C"/>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05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DA9"/>
    <w:rPr>
      <w:rFonts w:ascii="Times New Roman" w:hAnsi="Times New Roman" w:cs="Times New Roman"/>
    </w:rPr>
  </w:style>
  <w:style w:type="paragraph" w:styleId="Heading1">
    <w:name w:val="heading 1"/>
    <w:basedOn w:val="Normal"/>
    <w:next w:val="Normal"/>
    <w:link w:val="Heading1Char"/>
    <w:uiPriority w:val="9"/>
    <w:qFormat/>
    <w:rsid w:val="00E47C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40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B7"/>
    <w:pPr>
      <w:spacing w:after="120" w:line="264" w:lineRule="auto"/>
      <w:ind w:left="720"/>
      <w:contextualSpacing/>
    </w:pPr>
  </w:style>
  <w:style w:type="paragraph" w:customStyle="1" w:styleId="Sections">
    <w:name w:val="Sections"/>
    <w:basedOn w:val="ListParagraph"/>
    <w:qFormat/>
    <w:rsid w:val="00990A1E"/>
    <w:pPr>
      <w:keepNext/>
      <w:numPr>
        <w:numId w:val="18"/>
      </w:numPr>
      <w:spacing w:line="240" w:lineRule="auto"/>
    </w:pPr>
    <w:rPr>
      <w:rFonts w:ascii="Arial" w:hAnsi="Arial" w:cs="Arial"/>
      <w:b/>
    </w:rPr>
  </w:style>
  <w:style w:type="paragraph" w:customStyle="1" w:styleId="Subsection">
    <w:name w:val="Subsection"/>
    <w:basedOn w:val="Sections"/>
    <w:qFormat/>
    <w:rsid w:val="00484007"/>
    <w:pPr>
      <w:keepNext w:val="0"/>
      <w:numPr>
        <w:ilvl w:val="1"/>
      </w:numPr>
      <w:ind w:left="532" w:hanging="518"/>
      <w:contextualSpacing w:val="0"/>
    </w:pPr>
    <w:rPr>
      <w:rFonts w:ascii="Times New Roman" w:hAnsi="Times New Roman" w:cs="Times New Roman"/>
      <w:b w:val="0"/>
    </w:rPr>
  </w:style>
  <w:style w:type="paragraph" w:customStyle="1" w:styleId="SubSubSection">
    <w:name w:val="Sub Sub Section"/>
    <w:basedOn w:val="Subsection"/>
    <w:qFormat/>
    <w:rsid w:val="0051659E"/>
    <w:pPr>
      <w:numPr>
        <w:ilvl w:val="2"/>
      </w:numPr>
      <w:ind w:left="1440" w:hanging="720"/>
    </w:pPr>
  </w:style>
  <w:style w:type="paragraph" w:styleId="Header">
    <w:name w:val="header"/>
    <w:basedOn w:val="Normal"/>
    <w:link w:val="HeaderChar"/>
    <w:uiPriority w:val="99"/>
    <w:unhideWhenUsed/>
    <w:rsid w:val="008D3C11"/>
    <w:pPr>
      <w:tabs>
        <w:tab w:val="center" w:pos="4680"/>
        <w:tab w:val="right" w:pos="9360"/>
      </w:tabs>
    </w:pPr>
  </w:style>
  <w:style w:type="character" w:customStyle="1" w:styleId="HeaderChar">
    <w:name w:val="Header Char"/>
    <w:basedOn w:val="DefaultParagraphFont"/>
    <w:link w:val="Header"/>
    <w:uiPriority w:val="99"/>
    <w:rsid w:val="008D3C11"/>
    <w:rPr>
      <w:rFonts w:ascii="Times New Roman" w:hAnsi="Times New Roman" w:cs="Times New Roman"/>
    </w:rPr>
  </w:style>
  <w:style w:type="paragraph" w:styleId="Footer">
    <w:name w:val="footer"/>
    <w:basedOn w:val="Normal"/>
    <w:link w:val="FooterChar"/>
    <w:uiPriority w:val="99"/>
    <w:unhideWhenUsed/>
    <w:rsid w:val="008D3C11"/>
    <w:pPr>
      <w:tabs>
        <w:tab w:val="center" w:pos="4680"/>
        <w:tab w:val="right" w:pos="9360"/>
      </w:tabs>
    </w:pPr>
  </w:style>
  <w:style w:type="character" w:customStyle="1" w:styleId="FooterChar">
    <w:name w:val="Footer Char"/>
    <w:basedOn w:val="DefaultParagraphFont"/>
    <w:link w:val="Footer"/>
    <w:uiPriority w:val="99"/>
    <w:rsid w:val="008D3C11"/>
    <w:rPr>
      <w:rFonts w:ascii="Times New Roman" w:hAnsi="Times New Roman" w:cs="Times New Roman"/>
    </w:rPr>
  </w:style>
  <w:style w:type="character" w:styleId="Hyperlink">
    <w:name w:val="Hyperlink"/>
    <w:basedOn w:val="DefaultParagraphFont"/>
    <w:uiPriority w:val="99"/>
    <w:unhideWhenUsed/>
    <w:rsid w:val="00736BCE"/>
    <w:rPr>
      <w:color w:val="0563C1" w:themeColor="hyperlink"/>
      <w:u w:val="single"/>
    </w:rPr>
  </w:style>
  <w:style w:type="character" w:styleId="FollowedHyperlink">
    <w:name w:val="FollowedHyperlink"/>
    <w:basedOn w:val="DefaultParagraphFont"/>
    <w:uiPriority w:val="99"/>
    <w:semiHidden/>
    <w:unhideWhenUsed/>
    <w:rsid w:val="00D04006"/>
    <w:rPr>
      <w:color w:val="954F72" w:themeColor="followedHyperlink"/>
      <w:u w:val="single"/>
    </w:rPr>
  </w:style>
  <w:style w:type="character" w:customStyle="1" w:styleId="Heading2Char">
    <w:name w:val="Heading 2 Char"/>
    <w:basedOn w:val="DefaultParagraphFont"/>
    <w:link w:val="Heading2"/>
    <w:uiPriority w:val="9"/>
    <w:semiHidden/>
    <w:rsid w:val="00D04006"/>
    <w:rPr>
      <w:rFonts w:asciiTheme="majorHAnsi" w:eastAsiaTheme="majorEastAsia" w:hAnsiTheme="majorHAnsi" w:cstheme="majorBidi"/>
      <w:color w:val="2F5496" w:themeColor="accent1" w:themeShade="BF"/>
      <w:sz w:val="26"/>
      <w:szCs w:val="26"/>
    </w:rPr>
  </w:style>
  <w:style w:type="character" w:styleId="SubtleEmphasis">
    <w:name w:val="Subtle Emphasis"/>
    <w:uiPriority w:val="19"/>
    <w:qFormat/>
    <w:rsid w:val="008C4219"/>
    <w:rPr>
      <w:i/>
    </w:rPr>
  </w:style>
  <w:style w:type="character" w:customStyle="1" w:styleId="Heading1Char">
    <w:name w:val="Heading 1 Char"/>
    <w:basedOn w:val="DefaultParagraphFont"/>
    <w:link w:val="Heading1"/>
    <w:uiPriority w:val="9"/>
    <w:rsid w:val="00E47C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A2280"/>
    <w:rPr>
      <w:sz w:val="18"/>
      <w:szCs w:val="18"/>
    </w:rPr>
  </w:style>
  <w:style w:type="character" w:customStyle="1" w:styleId="BalloonTextChar">
    <w:name w:val="Balloon Text Char"/>
    <w:basedOn w:val="DefaultParagraphFont"/>
    <w:link w:val="BalloonText"/>
    <w:uiPriority w:val="99"/>
    <w:semiHidden/>
    <w:rsid w:val="00AA22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2280"/>
    <w:rPr>
      <w:sz w:val="16"/>
      <w:szCs w:val="16"/>
    </w:rPr>
  </w:style>
  <w:style w:type="paragraph" w:styleId="CommentText">
    <w:name w:val="annotation text"/>
    <w:basedOn w:val="Normal"/>
    <w:link w:val="CommentTextChar"/>
    <w:uiPriority w:val="99"/>
    <w:semiHidden/>
    <w:unhideWhenUsed/>
    <w:rsid w:val="00AA2280"/>
    <w:rPr>
      <w:sz w:val="20"/>
      <w:szCs w:val="20"/>
    </w:rPr>
  </w:style>
  <w:style w:type="character" w:customStyle="1" w:styleId="CommentTextChar">
    <w:name w:val="Comment Text Char"/>
    <w:basedOn w:val="DefaultParagraphFont"/>
    <w:link w:val="CommentText"/>
    <w:uiPriority w:val="99"/>
    <w:semiHidden/>
    <w:rsid w:val="00AA22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280"/>
    <w:rPr>
      <w:b/>
      <w:bCs/>
    </w:rPr>
  </w:style>
  <w:style w:type="character" w:customStyle="1" w:styleId="CommentSubjectChar">
    <w:name w:val="Comment Subject Char"/>
    <w:basedOn w:val="CommentTextChar"/>
    <w:link w:val="CommentSubject"/>
    <w:uiPriority w:val="99"/>
    <w:semiHidden/>
    <w:rsid w:val="00AA2280"/>
    <w:rPr>
      <w:rFonts w:ascii="Times New Roman" w:hAnsi="Times New Roman" w:cs="Times New Roman"/>
      <w:b/>
      <w:bCs/>
      <w:sz w:val="20"/>
      <w:szCs w:val="20"/>
    </w:rPr>
  </w:style>
  <w:style w:type="character" w:customStyle="1" w:styleId="UnresolvedMention1">
    <w:name w:val="Unresolved Mention1"/>
    <w:basedOn w:val="DefaultParagraphFont"/>
    <w:uiPriority w:val="99"/>
    <w:rsid w:val="00F86875"/>
    <w:rPr>
      <w:color w:val="605E5C"/>
      <w:shd w:val="clear" w:color="auto" w:fill="E1DFDD"/>
    </w:rPr>
  </w:style>
  <w:style w:type="paragraph" w:styleId="Revision">
    <w:name w:val="Revision"/>
    <w:hidden/>
    <w:uiPriority w:val="99"/>
    <w:semiHidden/>
    <w:rsid w:val="007D503C"/>
    <w:rPr>
      <w:rFonts w:ascii="Times New Roman" w:hAnsi="Times New Roman" w:cs="Times New Roman"/>
    </w:rPr>
  </w:style>
  <w:style w:type="table" w:styleId="TableGrid">
    <w:name w:val="Table Grid"/>
    <w:basedOn w:val="TableNormal"/>
    <w:uiPriority w:val="59"/>
    <w:rsid w:val="00590E0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42">
      <w:bodyDiv w:val="1"/>
      <w:marLeft w:val="0"/>
      <w:marRight w:val="0"/>
      <w:marTop w:val="0"/>
      <w:marBottom w:val="0"/>
      <w:divBdr>
        <w:top w:val="none" w:sz="0" w:space="0" w:color="auto"/>
        <w:left w:val="none" w:sz="0" w:space="0" w:color="auto"/>
        <w:bottom w:val="none" w:sz="0" w:space="0" w:color="auto"/>
        <w:right w:val="none" w:sz="0" w:space="0" w:color="auto"/>
      </w:divBdr>
    </w:div>
    <w:div w:id="31003222">
      <w:bodyDiv w:val="1"/>
      <w:marLeft w:val="0"/>
      <w:marRight w:val="0"/>
      <w:marTop w:val="0"/>
      <w:marBottom w:val="0"/>
      <w:divBdr>
        <w:top w:val="none" w:sz="0" w:space="0" w:color="auto"/>
        <w:left w:val="none" w:sz="0" w:space="0" w:color="auto"/>
        <w:bottom w:val="none" w:sz="0" w:space="0" w:color="auto"/>
        <w:right w:val="none" w:sz="0" w:space="0" w:color="auto"/>
      </w:divBdr>
    </w:div>
    <w:div w:id="517812285">
      <w:bodyDiv w:val="1"/>
      <w:marLeft w:val="0"/>
      <w:marRight w:val="0"/>
      <w:marTop w:val="0"/>
      <w:marBottom w:val="0"/>
      <w:divBdr>
        <w:top w:val="none" w:sz="0" w:space="0" w:color="auto"/>
        <w:left w:val="none" w:sz="0" w:space="0" w:color="auto"/>
        <w:bottom w:val="none" w:sz="0" w:space="0" w:color="auto"/>
        <w:right w:val="none" w:sz="0" w:space="0" w:color="auto"/>
      </w:divBdr>
    </w:div>
    <w:div w:id="535241488">
      <w:bodyDiv w:val="1"/>
      <w:marLeft w:val="0"/>
      <w:marRight w:val="0"/>
      <w:marTop w:val="0"/>
      <w:marBottom w:val="0"/>
      <w:divBdr>
        <w:top w:val="none" w:sz="0" w:space="0" w:color="auto"/>
        <w:left w:val="none" w:sz="0" w:space="0" w:color="auto"/>
        <w:bottom w:val="none" w:sz="0" w:space="0" w:color="auto"/>
        <w:right w:val="none" w:sz="0" w:space="0" w:color="auto"/>
      </w:divBdr>
    </w:div>
    <w:div w:id="758449152">
      <w:bodyDiv w:val="1"/>
      <w:marLeft w:val="0"/>
      <w:marRight w:val="0"/>
      <w:marTop w:val="0"/>
      <w:marBottom w:val="0"/>
      <w:divBdr>
        <w:top w:val="none" w:sz="0" w:space="0" w:color="auto"/>
        <w:left w:val="none" w:sz="0" w:space="0" w:color="auto"/>
        <w:bottom w:val="none" w:sz="0" w:space="0" w:color="auto"/>
        <w:right w:val="none" w:sz="0" w:space="0" w:color="auto"/>
      </w:divBdr>
    </w:div>
    <w:div w:id="893852975">
      <w:bodyDiv w:val="1"/>
      <w:marLeft w:val="0"/>
      <w:marRight w:val="0"/>
      <w:marTop w:val="0"/>
      <w:marBottom w:val="0"/>
      <w:divBdr>
        <w:top w:val="none" w:sz="0" w:space="0" w:color="auto"/>
        <w:left w:val="none" w:sz="0" w:space="0" w:color="auto"/>
        <w:bottom w:val="none" w:sz="0" w:space="0" w:color="auto"/>
        <w:right w:val="none" w:sz="0" w:space="0" w:color="auto"/>
      </w:divBdr>
    </w:div>
    <w:div w:id="914163429">
      <w:bodyDiv w:val="1"/>
      <w:marLeft w:val="0"/>
      <w:marRight w:val="0"/>
      <w:marTop w:val="0"/>
      <w:marBottom w:val="0"/>
      <w:divBdr>
        <w:top w:val="none" w:sz="0" w:space="0" w:color="auto"/>
        <w:left w:val="none" w:sz="0" w:space="0" w:color="auto"/>
        <w:bottom w:val="none" w:sz="0" w:space="0" w:color="auto"/>
        <w:right w:val="none" w:sz="0" w:space="0" w:color="auto"/>
      </w:divBdr>
    </w:div>
    <w:div w:id="1103303891">
      <w:bodyDiv w:val="1"/>
      <w:marLeft w:val="0"/>
      <w:marRight w:val="0"/>
      <w:marTop w:val="0"/>
      <w:marBottom w:val="0"/>
      <w:divBdr>
        <w:top w:val="none" w:sz="0" w:space="0" w:color="auto"/>
        <w:left w:val="none" w:sz="0" w:space="0" w:color="auto"/>
        <w:bottom w:val="none" w:sz="0" w:space="0" w:color="auto"/>
        <w:right w:val="none" w:sz="0" w:space="0" w:color="auto"/>
      </w:divBdr>
    </w:div>
    <w:div w:id="1153718703">
      <w:bodyDiv w:val="1"/>
      <w:marLeft w:val="0"/>
      <w:marRight w:val="0"/>
      <w:marTop w:val="0"/>
      <w:marBottom w:val="0"/>
      <w:divBdr>
        <w:top w:val="none" w:sz="0" w:space="0" w:color="auto"/>
        <w:left w:val="none" w:sz="0" w:space="0" w:color="auto"/>
        <w:bottom w:val="none" w:sz="0" w:space="0" w:color="auto"/>
        <w:right w:val="none" w:sz="0" w:space="0" w:color="auto"/>
      </w:divBdr>
    </w:div>
    <w:div w:id="1272325043">
      <w:bodyDiv w:val="1"/>
      <w:marLeft w:val="0"/>
      <w:marRight w:val="0"/>
      <w:marTop w:val="0"/>
      <w:marBottom w:val="0"/>
      <w:divBdr>
        <w:top w:val="none" w:sz="0" w:space="0" w:color="auto"/>
        <w:left w:val="none" w:sz="0" w:space="0" w:color="auto"/>
        <w:bottom w:val="none" w:sz="0" w:space="0" w:color="auto"/>
        <w:right w:val="none" w:sz="0" w:space="0" w:color="auto"/>
      </w:divBdr>
    </w:div>
    <w:div w:id="1362324245">
      <w:bodyDiv w:val="1"/>
      <w:marLeft w:val="0"/>
      <w:marRight w:val="0"/>
      <w:marTop w:val="0"/>
      <w:marBottom w:val="0"/>
      <w:divBdr>
        <w:top w:val="none" w:sz="0" w:space="0" w:color="auto"/>
        <w:left w:val="none" w:sz="0" w:space="0" w:color="auto"/>
        <w:bottom w:val="none" w:sz="0" w:space="0" w:color="auto"/>
        <w:right w:val="none" w:sz="0" w:space="0" w:color="auto"/>
      </w:divBdr>
    </w:div>
    <w:div w:id="1487017516">
      <w:bodyDiv w:val="1"/>
      <w:marLeft w:val="0"/>
      <w:marRight w:val="0"/>
      <w:marTop w:val="0"/>
      <w:marBottom w:val="0"/>
      <w:divBdr>
        <w:top w:val="none" w:sz="0" w:space="0" w:color="auto"/>
        <w:left w:val="none" w:sz="0" w:space="0" w:color="auto"/>
        <w:bottom w:val="none" w:sz="0" w:space="0" w:color="auto"/>
        <w:right w:val="none" w:sz="0" w:space="0" w:color="auto"/>
      </w:divBdr>
    </w:div>
    <w:div w:id="1539969946">
      <w:bodyDiv w:val="1"/>
      <w:marLeft w:val="0"/>
      <w:marRight w:val="0"/>
      <w:marTop w:val="0"/>
      <w:marBottom w:val="0"/>
      <w:divBdr>
        <w:top w:val="none" w:sz="0" w:space="0" w:color="auto"/>
        <w:left w:val="none" w:sz="0" w:space="0" w:color="auto"/>
        <w:bottom w:val="none" w:sz="0" w:space="0" w:color="auto"/>
        <w:right w:val="none" w:sz="0" w:space="0" w:color="auto"/>
      </w:divBdr>
    </w:div>
    <w:div w:id="1585869356">
      <w:bodyDiv w:val="1"/>
      <w:marLeft w:val="0"/>
      <w:marRight w:val="0"/>
      <w:marTop w:val="0"/>
      <w:marBottom w:val="0"/>
      <w:divBdr>
        <w:top w:val="none" w:sz="0" w:space="0" w:color="auto"/>
        <w:left w:val="none" w:sz="0" w:space="0" w:color="auto"/>
        <w:bottom w:val="none" w:sz="0" w:space="0" w:color="auto"/>
        <w:right w:val="none" w:sz="0" w:space="0" w:color="auto"/>
      </w:divBdr>
    </w:div>
    <w:div w:id="1692875823">
      <w:bodyDiv w:val="1"/>
      <w:marLeft w:val="0"/>
      <w:marRight w:val="0"/>
      <w:marTop w:val="0"/>
      <w:marBottom w:val="0"/>
      <w:divBdr>
        <w:top w:val="none" w:sz="0" w:space="0" w:color="auto"/>
        <w:left w:val="none" w:sz="0" w:space="0" w:color="auto"/>
        <w:bottom w:val="none" w:sz="0" w:space="0" w:color="auto"/>
        <w:right w:val="none" w:sz="0" w:space="0" w:color="auto"/>
      </w:divBdr>
    </w:div>
    <w:div w:id="1808014046">
      <w:bodyDiv w:val="1"/>
      <w:marLeft w:val="0"/>
      <w:marRight w:val="0"/>
      <w:marTop w:val="0"/>
      <w:marBottom w:val="0"/>
      <w:divBdr>
        <w:top w:val="none" w:sz="0" w:space="0" w:color="auto"/>
        <w:left w:val="none" w:sz="0" w:space="0" w:color="auto"/>
        <w:bottom w:val="none" w:sz="0" w:space="0" w:color="auto"/>
        <w:right w:val="none" w:sz="0" w:space="0" w:color="auto"/>
      </w:divBdr>
    </w:div>
    <w:div w:id="1817187457">
      <w:bodyDiv w:val="1"/>
      <w:marLeft w:val="0"/>
      <w:marRight w:val="0"/>
      <w:marTop w:val="0"/>
      <w:marBottom w:val="0"/>
      <w:divBdr>
        <w:top w:val="none" w:sz="0" w:space="0" w:color="auto"/>
        <w:left w:val="none" w:sz="0" w:space="0" w:color="auto"/>
        <w:bottom w:val="none" w:sz="0" w:space="0" w:color="auto"/>
        <w:right w:val="none" w:sz="0" w:space="0" w:color="auto"/>
      </w:divBdr>
    </w:div>
    <w:div w:id="2059237747">
      <w:bodyDiv w:val="1"/>
      <w:marLeft w:val="0"/>
      <w:marRight w:val="0"/>
      <w:marTop w:val="0"/>
      <w:marBottom w:val="0"/>
      <w:divBdr>
        <w:top w:val="none" w:sz="0" w:space="0" w:color="auto"/>
        <w:left w:val="none" w:sz="0" w:space="0" w:color="auto"/>
        <w:bottom w:val="none" w:sz="0" w:space="0" w:color="auto"/>
        <w:right w:val="none" w:sz="0" w:space="0" w:color="auto"/>
      </w:divBdr>
    </w:div>
    <w:div w:id="211440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506-10.html" TargetMode="External"/><Relationship Id="rId13" Type="http://schemas.openxmlformats.org/officeDocument/2006/relationships/hyperlink" Target="https://www.asu.edu/aad/manuals/acd/acd304-09.html" TargetMode="External"/><Relationship Id="rId18" Type="http://schemas.openxmlformats.org/officeDocument/2006/relationships/hyperlink" Target="https://www.asu.edu/aad/manuals/acd/acd506-10.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su.edu/aad/manuals/acd/acd506-10.html" TargetMode="External"/><Relationship Id="rId12" Type="http://schemas.openxmlformats.org/officeDocument/2006/relationships/hyperlink" Target="https://provost.asu.edu/policies/procedures/p7" TargetMode="External"/><Relationship Id="rId17" Type="http://schemas.openxmlformats.org/officeDocument/2006/relationships/hyperlink" Target="https://provost.asu.edu/policies/procedures/princip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vost.asu.edu/policies/procedures/p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506-1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u.edu/aad/manuals/acd/acd506-11.html" TargetMode="External"/><Relationship Id="rId23" Type="http://schemas.openxmlformats.org/officeDocument/2006/relationships/footer" Target="footer2.xml"/><Relationship Id="rId10" Type="http://schemas.openxmlformats.org/officeDocument/2006/relationships/hyperlink" Target="https://www.asu.edu/aad/manuals/acd/acd202-02.html" TargetMode="External"/><Relationship Id="rId19" Type="http://schemas.openxmlformats.org/officeDocument/2006/relationships/hyperlink" Target="https://www.asu.edu/aad/manuals/acd/acd401.html" TargetMode="External"/><Relationship Id="rId4" Type="http://schemas.openxmlformats.org/officeDocument/2006/relationships/webSettings" Target="webSettings.xml"/><Relationship Id="rId9" Type="http://schemas.openxmlformats.org/officeDocument/2006/relationships/hyperlink" Target="https://www.asu.edu/aad/manuals/acd/acd506-10.html" TargetMode="External"/><Relationship Id="rId14" Type="http://schemas.openxmlformats.org/officeDocument/2006/relationships/hyperlink" Target="https://www.asu.edu/aad/manuals/acd/acd506-10.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15</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Lori Hidinger</cp:lastModifiedBy>
  <cp:revision>106</cp:revision>
  <dcterms:created xsi:type="dcterms:W3CDTF">2019-11-07T02:55:00Z</dcterms:created>
  <dcterms:modified xsi:type="dcterms:W3CDTF">2019-11-19T22:41:00Z</dcterms:modified>
</cp:coreProperties>
</file>