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B4FBE" w14:textId="346141FD" w:rsidR="00074B97" w:rsidRDefault="00E57E3F" w:rsidP="00074B97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Calibri"/>
          <w:color w:val="18376A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22D58A9" wp14:editId="70AF0563">
            <wp:extent cx="2766099" cy="63093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9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3059" w14:textId="77777777" w:rsidR="00074B97" w:rsidRDefault="00074B97" w:rsidP="00074B97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Calibri"/>
          <w:color w:val="18376A"/>
          <w:sz w:val="30"/>
          <w:szCs w:val="30"/>
        </w:rPr>
      </w:pPr>
    </w:p>
    <w:p w14:paraId="3AAE97C8" w14:textId="77777777" w:rsidR="00074B97" w:rsidRDefault="00074B97" w:rsidP="00074B97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Calibri"/>
          <w:color w:val="18376A"/>
          <w:sz w:val="30"/>
          <w:szCs w:val="30"/>
        </w:rPr>
      </w:pPr>
    </w:p>
    <w:p w14:paraId="57019824" w14:textId="77777777" w:rsidR="00074B97" w:rsidRDefault="00074B97" w:rsidP="00074B97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Calibri"/>
          <w:color w:val="18376A"/>
          <w:sz w:val="30"/>
          <w:szCs w:val="30"/>
        </w:rPr>
      </w:pPr>
    </w:p>
    <w:p w14:paraId="733677AA" w14:textId="77777777" w:rsidR="00074B97" w:rsidRDefault="00074B97" w:rsidP="00074B97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Calibri"/>
          <w:color w:val="18376A"/>
          <w:sz w:val="30"/>
          <w:szCs w:val="30"/>
        </w:rPr>
      </w:pPr>
    </w:p>
    <w:p w14:paraId="0B99A5C1" w14:textId="77777777" w:rsidR="00074B97" w:rsidRDefault="00074B97" w:rsidP="00074B97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Calibri"/>
          <w:color w:val="18376A"/>
          <w:sz w:val="30"/>
          <w:szCs w:val="30"/>
        </w:rPr>
      </w:pPr>
    </w:p>
    <w:p w14:paraId="20788D4B" w14:textId="77777777" w:rsidR="00074B97" w:rsidRDefault="00074B97" w:rsidP="00074B97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Calibri"/>
          <w:color w:val="18376A"/>
          <w:sz w:val="30"/>
          <w:szCs w:val="30"/>
        </w:rPr>
      </w:pPr>
    </w:p>
    <w:p w14:paraId="2364F438" w14:textId="77777777" w:rsidR="00E57E3F" w:rsidRDefault="00E57E3F" w:rsidP="00074B97">
      <w:pPr>
        <w:widowControl w:val="0"/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" w:hAnsi="Times" w:cs="Calibri"/>
          <w:sz w:val="24"/>
          <w:szCs w:val="24"/>
        </w:rPr>
      </w:pPr>
    </w:p>
    <w:p w14:paraId="548840D4" w14:textId="77777777" w:rsidR="00E57E3F" w:rsidRDefault="00074B97" w:rsidP="00E5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Calibri"/>
          <w:sz w:val="24"/>
          <w:szCs w:val="24"/>
        </w:rPr>
      </w:pPr>
      <w:r w:rsidRPr="00E57E3F">
        <w:rPr>
          <w:rFonts w:ascii="Times" w:hAnsi="Times" w:cs="Calibri"/>
          <w:sz w:val="24"/>
          <w:szCs w:val="24"/>
        </w:rPr>
        <w:t xml:space="preserve">Criteria for </w:t>
      </w:r>
      <w:r w:rsidR="00E57E3F">
        <w:rPr>
          <w:rFonts w:ascii="Times" w:hAnsi="Times" w:cs="Calibri"/>
          <w:sz w:val="24"/>
          <w:szCs w:val="24"/>
        </w:rPr>
        <w:t>Fixed-Term Clinical P</w:t>
      </w:r>
      <w:r w:rsidRPr="00E57E3F">
        <w:rPr>
          <w:rFonts w:ascii="Times" w:hAnsi="Times" w:cs="Calibri"/>
          <w:sz w:val="24"/>
          <w:szCs w:val="24"/>
        </w:rPr>
        <w:t xml:space="preserve">romotion </w:t>
      </w:r>
    </w:p>
    <w:p w14:paraId="318AC008" w14:textId="0A2BEDEB" w:rsidR="00074B97" w:rsidRPr="00E57E3F" w:rsidRDefault="00074B97" w:rsidP="00E5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Calibri"/>
          <w:sz w:val="24"/>
          <w:szCs w:val="24"/>
        </w:rPr>
      </w:pPr>
      <w:r w:rsidRPr="00E57E3F">
        <w:rPr>
          <w:rFonts w:ascii="Times" w:hAnsi="Times" w:cs="Calibri"/>
          <w:sz w:val="24"/>
          <w:szCs w:val="24"/>
        </w:rPr>
        <w:t>Doctor of Behavioral Health Program</w:t>
      </w:r>
    </w:p>
    <w:p w14:paraId="32F5C39B" w14:textId="7DD497E9" w:rsidR="00074B97" w:rsidRPr="00E57E3F" w:rsidRDefault="00074B97" w:rsidP="00E5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Calibri"/>
          <w:sz w:val="24"/>
          <w:szCs w:val="24"/>
        </w:rPr>
      </w:pPr>
      <w:r w:rsidRPr="00E57E3F">
        <w:rPr>
          <w:rFonts w:ascii="Times" w:hAnsi="Times" w:cs="Calibri"/>
          <w:sz w:val="24"/>
          <w:szCs w:val="24"/>
        </w:rPr>
        <w:t>Approved by the faculty assembly of the school on 8/4/15</w:t>
      </w:r>
    </w:p>
    <w:p w14:paraId="429249F6" w14:textId="301545CF" w:rsidR="00074B97" w:rsidRPr="00E57E3F" w:rsidRDefault="00074B97" w:rsidP="00E57E3F">
      <w:pPr>
        <w:pStyle w:val="MediumShading1-Accent11"/>
        <w:jc w:val="center"/>
        <w:rPr>
          <w:rFonts w:ascii="Times" w:hAnsi="Times"/>
          <w:b/>
          <w:sz w:val="24"/>
          <w:szCs w:val="24"/>
        </w:rPr>
      </w:pPr>
      <w:r w:rsidRPr="00E57E3F">
        <w:rPr>
          <w:rFonts w:ascii="Times" w:hAnsi="Times" w:cs="Calibri"/>
          <w:sz w:val="24"/>
          <w:szCs w:val="24"/>
        </w:rPr>
        <w:t xml:space="preserve">Approved by the dean on </w:t>
      </w:r>
      <w:r w:rsidR="00950DF1">
        <w:rPr>
          <w:rFonts w:ascii="Times" w:hAnsi="Times" w:cs="Calibri"/>
          <w:sz w:val="24"/>
          <w:szCs w:val="24"/>
        </w:rPr>
        <w:t>8/10/2015</w:t>
      </w:r>
    </w:p>
    <w:p w14:paraId="7FFE3A97" w14:textId="77777777" w:rsidR="00074B97" w:rsidRDefault="00074B97" w:rsidP="00446C8F">
      <w:pPr>
        <w:pStyle w:val="MediumShading1-Accent11"/>
        <w:jc w:val="center"/>
        <w:rPr>
          <w:b/>
          <w:sz w:val="24"/>
          <w:szCs w:val="24"/>
        </w:rPr>
      </w:pPr>
    </w:p>
    <w:p w14:paraId="478983ED" w14:textId="77777777" w:rsidR="00074B97" w:rsidRDefault="00074B97" w:rsidP="00446C8F">
      <w:pPr>
        <w:pStyle w:val="MediumShading1-Accent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EEDC21" w14:textId="355CE352" w:rsidR="00446C8F" w:rsidRPr="00446C8F" w:rsidRDefault="00446C8F" w:rsidP="00446C8F">
      <w:pPr>
        <w:pStyle w:val="MediumShading1-Accent11"/>
        <w:jc w:val="center"/>
        <w:rPr>
          <w:b/>
          <w:sz w:val="24"/>
          <w:szCs w:val="24"/>
        </w:rPr>
      </w:pPr>
      <w:r w:rsidRPr="00446C8F">
        <w:rPr>
          <w:b/>
          <w:sz w:val="24"/>
          <w:szCs w:val="24"/>
        </w:rPr>
        <w:lastRenderedPageBreak/>
        <w:t>College of Health Solutions</w:t>
      </w:r>
    </w:p>
    <w:p w14:paraId="5A7F9EE0" w14:textId="77777777" w:rsidR="00FE0108" w:rsidRPr="00446C8F" w:rsidRDefault="00446C8F" w:rsidP="00642643">
      <w:pPr>
        <w:pStyle w:val="MediumShading1-Accent11"/>
        <w:jc w:val="center"/>
        <w:rPr>
          <w:b/>
          <w:sz w:val="24"/>
          <w:szCs w:val="24"/>
        </w:rPr>
      </w:pPr>
      <w:r w:rsidRPr="00446C8F">
        <w:rPr>
          <w:b/>
          <w:sz w:val="24"/>
          <w:szCs w:val="24"/>
        </w:rPr>
        <w:t>Fixed-Term Promotion Criteria for the Doctor of Behavioral Health</w:t>
      </w:r>
    </w:p>
    <w:p w14:paraId="6CFEDCC0" w14:textId="7F326BEE" w:rsidR="00446C8F" w:rsidRPr="00446C8F" w:rsidRDefault="00446C8F" w:rsidP="00642643">
      <w:pPr>
        <w:pStyle w:val="MediumShading1-Accent11"/>
        <w:jc w:val="center"/>
        <w:rPr>
          <w:b/>
          <w:sz w:val="24"/>
          <w:szCs w:val="24"/>
        </w:rPr>
      </w:pPr>
      <w:r w:rsidRPr="00446C8F">
        <w:rPr>
          <w:b/>
          <w:sz w:val="24"/>
          <w:szCs w:val="24"/>
        </w:rPr>
        <w:t xml:space="preserve">Approved by Faculty Assembly </w:t>
      </w:r>
      <w:r w:rsidR="005017C1">
        <w:rPr>
          <w:b/>
          <w:sz w:val="24"/>
          <w:szCs w:val="24"/>
        </w:rPr>
        <w:t>August 4, 2015</w:t>
      </w:r>
    </w:p>
    <w:p w14:paraId="0867A8BD" w14:textId="234E7D5E" w:rsidR="00446C8F" w:rsidRPr="00446C8F" w:rsidRDefault="00446C8F" w:rsidP="00642643">
      <w:pPr>
        <w:pStyle w:val="MediumShading1-Accent11"/>
        <w:jc w:val="center"/>
        <w:rPr>
          <w:b/>
          <w:sz w:val="24"/>
          <w:szCs w:val="24"/>
        </w:rPr>
      </w:pPr>
      <w:r w:rsidRPr="00446C8F">
        <w:rPr>
          <w:b/>
          <w:sz w:val="24"/>
          <w:szCs w:val="24"/>
        </w:rPr>
        <w:t xml:space="preserve">Approved by the Dean - </w:t>
      </w:r>
      <w:r w:rsidR="005017C1">
        <w:rPr>
          <w:b/>
          <w:sz w:val="24"/>
          <w:szCs w:val="24"/>
        </w:rPr>
        <w:t>TBD</w:t>
      </w:r>
    </w:p>
    <w:p w14:paraId="0BC11F39" w14:textId="77777777" w:rsidR="009C07DA" w:rsidRDefault="009C07DA" w:rsidP="009C07DA">
      <w:pPr>
        <w:pStyle w:val="MediumShading1-Accent11"/>
        <w:rPr>
          <w:b/>
          <w:sz w:val="24"/>
          <w:szCs w:val="24"/>
        </w:rPr>
      </w:pPr>
    </w:p>
    <w:p w14:paraId="4BE6C4E9" w14:textId="66459777" w:rsidR="005017C1" w:rsidRDefault="005017C1" w:rsidP="005017C1">
      <w:pPr>
        <w:pStyle w:val="MediumShading1-Accent1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Appointment/Retention/Promotion Criteria:  </w:t>
      </w:r>
      <w:r w:rsidRPr="00295C00">
        <w:rPr>
          <w:b/>
          <w:sz w:val="28"/>
          <w:szCs w:val="28"/>
        </w:rPr>
        <w:t xml:space="preserve">Clinical </w:t>
      </w:r>
      <w:r>
        <w:rPr>
          <w:b/>
          <w:sz w:val="28"/>
          <w:szCs w:val="28"/>
        </w:rPr>
        <w:t xml:space="preserve">Associate </w:t>
      </w:r>
      <w:r w:rsidRPr="00295C00">
        <w:rPr>
          <w:b/>
          <w:sz w:val="28"/>
          <w:szCs w:val="28"/>
        </w:rPr>
        <w:t>Professor</w:t>
      </w:r>
    </w:p>
    <w:p w14:paraId="0AD788E7" w14:textId="05F5C812" w:rsidR="00CD126F" w:rsidRPr="00F91947" w:rsidRDefault="00DD7435" w:rsidP="00F91947">
      <w:pPr>
        <w:pStyle w:val="MediumShading1-Accent11"/>
      </w:pPr>
      <w:r>
        <w:t>**</w:t>
      </w:r>
      <w:r w:rsidR="006A455E">
        <w:t>An ad hoc Personnel Committee of no fewer than four full-time clinical faculty members will make all promotion recommendations</w:t>
      </w:r>
      <w:r w:rsidR="00CD126F" w:rsidRPr="00F91947">
        <w:t xml:space="preserve">. </w:t>
      </w:r>
      <w:r w:rsidR="00CE1F97" w:rsidRPr="00F91947">
        <w:t xml:space="preserve">When appropriate, up to </w:t>
      </w:r>
      <w:r w:rsidR="00CD34F7">
        <w:t>three</w:t>
      </w:r>
      <w:r w:rsidR="00CD34F7" w:rsidRPr="00F91947">
        <w:t xml:space="preserve"> </w:t>
      </w:r>
      <w:r w:rsidR="00CE1F97" w:rsidRPr="00F91947">
        <w:t>committee members may be recruited from outside the DBH Program but within the College of Health Solutions</w:t>
      </w:r>
      <w:r w:rsidR="00763253">
        <w:t>.</w:t>
      </w:r>
      <w:r w:rsidR="006A7F55">
        <w:t xml:space="preserve"> Members of the ad hoc committee must be at the rank of clinical associate professor or higher</w:t>
      </w:r>
      <w:proofErr w:type="gramStart"/>
      <w:r w:rsidR="006A7F55">
        <w:t>.</w:t>
      </w:r>
      <w:r w:rsidR="00CE1F97" w:rsidRPr="00F91947">
        <w:t>*</w:t>
      </w:r>
      <w:proofErr w:type="gramEnd"/>
      <w:r w:rsidR="00CE1F97" w:rsidRPr="00F91947">
        <w:t>*</w:t>
      </w:r>
    </w:p>
    <w:p w14:paraId="09ABCC6E" w14:textId="77777777" w:rsidR="0098252E" w:rsidRPr="00F91947" w:rsidRDefault="0098252E" w:rsidP="00F91947">
      <w:pPr>
        <w:pStyle w:val="MediumShading1-Accent11"/>
      </w:pPr>
    </w:p>
    <w:p w14:paraId="1ECE4884" w14:textId="7286B4C7" w:rsidR="0098252E" w:rsidRPr="00FE0108" w:rsidRDefault="0098252E" w:rsidP="0098252E">
      <w:pPr>
        <w:spacing w:after="0" w:line="240" w:lineRule="auto"/>
        <w:rPr>
          <w:b/>
        </w:rPr>
      </w:pPr>
      <w:r w:rsidRPr="004655FF">
        <w:rPr>
          <w:b/>
        </w:rPr>
        <w:t>NOTE:</w:t>
      </w:r>
      <w:r>
        <w:rPr>
          <w:b/>
        </w:rPr>
        <w:t xml:space="preserve">  </w:t>
      </w:r>
      <w:r>
        <w:t xml:space="preserve">As designated by the program director and/or Dean’s office, each </w:t>
      </w:r>
      <w:r w:rsidR="00034030">
        <w:t>Clinical Assistant Professor</w:t>
      </w:r>
      <w:r>
        <w:t xml:space="preserve"> may also be assigned a specific workload distribution related to program administration/coordination or any other relevant category.   If, for example, a </w:t>
      </w:r>
      <w:r w:rsidR="00F91947">
        <w:t>C</w:t>
      </w:r>
      <w:r w:rsidR="00034030">
        <w:t xml:space="preserve">linical </w:t>
      </w:r>
      <w:r w:rsidR="00F91947">
        <w:t>A</w:t>
      </w:r>
      <w:r w:rsidR="00034030">
        <w:t xml:space="preserve">ssistant </w:t>
      </w:r>
      <w:r w:rsidR="00F91947">
        <w:t>P</w:t>
      </w:r>
      <w:r w:rsidR="00034030">
        <w:t xml:space="preserve">rofessor </w:t>
      </w:r>
      <w:r w:rsidR="006A455E">
        <w:t>were</w:t>
      </w:r>
      <w:r>
        <w:t xml:space="preserve"> assigned an administrative position that represents 30% of his/her workload, expectations for instructional, scholarship, and/or service responsibilities would be reduced as appropriate.  In addition, scholarship/creative innovation is n</w:t>
      </w:r>
      <w:r w:rsidRPr="00FE0108">
        <w:t xml:space="preserve">ot a required or typical component of this </w:t>
      </w:r>
      <w:r w:rsidR="006A7F55" w:rsidRPr="00FE0108">
        <w:t>position</w:t>
      </w:r>
      <w:r w:rsidR="006A7F55">
        <w:t>;</w:t>
      </w:r>
      <w:r>
        <w:t xml:space="preserve"> however</w:t>
      </w:r>
      <w:r w:rsidR="006A7F55">
        <w:t>,</w:t>
      </w:r>
      <w:r>
        <w:t xml:space="preserve"> an i</w:t>
      </w:r>
      <w:r w:rsidRPr="00FE0108">
        <w:t xml:space="preserve">ndividual workload distribution may be </w:t>
      </w:r>
      <w:r w:rsidR="006A7F55">
        <w:t>adjusted</w:t>
      </w:r>
      <w:r w:rsidRPr="00FE0108">
        <w:t xml:space="preserve"> to reflect a scholarship expectation</w:t>
      </w:r>
      <w:r>
        <w:t xml:space="preserve">.  </w:t>
      </w:r>
      <w:r w:rsidRPr="00FE0108">
        <w:t>If no scholarship component is defined, any productivity in this area may be viewed as an enhancement to overall productivity and personal achievement</w:t>
      </w:r>
      <w:r w:rsidR="007907FF">
        <w:t>.</w:t>
      </w:r>
    </w:p>
    <w:p w14:paraId="6AC0BE67" w14:textId="77777777" w:rsidR="0098252E" w:rsidRDefault="0098252E" w:rsidP="0098252E">
      <w:pPr>
        <w:pStyle w:val="MediumShading1-Accent11"/>
        <w:rPr>
          <w:b/>
          <w:sz w:val="24"/>
          <w:szCs w:val="24"/>
        </w:rPr>
      </w:pPr>
    </w:p>
    <w:p w14:paraId="7F555612" w14:textId="77777777" w:rsidR="00FE0108" w:rsidRPr="00642643" w:rsidRDefault="00FE0108" w:rsidP="00642643">
      <w:pPr>
        <w:pStyle w:val="MediumShading1-Accent11"/>
        <w:rPr>
          <w:b/>
        </w:rPr>
      </w:pPr>
      <w:r w:rsidRPr="004A63BB">
        <w:rPr>
          <w:b/>
        </w:rPr>
        <w:t xml:space="preserve">Required Qualifications:  </w:t>
      </w:r>
      <w:r>
        <w:rPr>
          <w:b/>
        </w:rPr>
        <w:tab/>
      </w:r>
      <w:r>
        <w:rPr>
          <w:b/>
        </w:rPr>
        <w:tab/>
      </w:r>
    </w:p>
    <w:p w14:paraId="07D3FCE2" w14:textId="77777777" w:rsidR="007839BE" w:rsidRPr="007839BE" w:rsidRDefault="007839BE" w:rsidP="00B04E82">
      <w:pPr>
        <w:numPr>
          <w:ilvl w:val="0"/>
          <w:numId w:val="3"/>
        </w:numPr>
        <w:spacing w:after="0" w:line="240" w:lineRule="auto"/>
      </w:pPr>
      <w:r w:rsidRPr="007839BE">
        <w:t xml:space="preserve">A </w:t>
      </w:r>
      <w:r w:rsidR="00034030" w:rsidRPr="00337429">
        <w:rPr>
          <w:b/>
        </w:rPr>
        <w:t>doctoral degree</w:t>
      </w:r>
      <w:r w:rsidRPr="007839BE">
        <w:t xml:space="preserve"> appropriate for the area of expertise</w:t>
      </w:r>
    </w:p>
    <w:p w14:paraId="6A9925D1" w14:textId="77777777" w:rsidR="00FE0108" w:rsidRDefault="007839BE" w:rsidP="00B04E82">
      <w:pPr>
        <w:numPr>
          <w:ilvl w:val="0"/>
          <w:numId w:val="3"/>
        </w:numPr>
        <w:spacing w:after="0" w:line="240" w:lineRule="auto"/>
      </w:pPr>
      <w:r w:rsidRPr="007839BE">
        <w:lastRenderedPageBreak/>
        <w:t xml:space="preserve">A </w:t>
      </w:r>
      <w:r w:rsidRPr="006F0425">
        <w:t xml:space="preserve">minimum of </w:t>
      </w:r>
      <w:r w:rsidR="00321B4E">
        <w:rPr>
          <w:b/>
        </w:rPr>
        <w:t>five</w:t>
      </w:r>
      <w:r w:rsidR="00321B4E" w:rsidRPr="006F0425">
        <w:rPr>
          <w:b/>
        </w:rPr>
        <w:t xml:space="preserve"> </w:t>
      </w:r>
      <w:r w:rsidRPr="006F0425">
        <w:t xml:space="preserve">years of college/university-level teaching </w:t>
      </w:r>
      <w:r w:rsidR="00363BFF" w:rsidRPr="006F0425">
        <w:t xml:space="preserve">at ASU </w:t>
      </w:r>
      <w:r w:rsidRPr="006F0425">
        <w:t>is</w:t>
      </w:r>
      <w:r w:rsidRPr="007839BE">
        <w:t xml:space="preserve"> typically required</w:t>
      </w:r>
      <w:r w:rsidR="00034030">
        <w:t>.</w:t>
      </w:r>
    </w:p>
    <w:p w14:paraId="104CBA37" w14:textId="77777777" w:rsidR="00034030" w:rsidRPr="007839BE" w:rsidRDefault="00034030" w:rsidP="007839B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240"/>
        <w:gridCol w:w="2430"/>
      </w:tblGrid>
      <w:tr w:rsidR="00BB75D1" w:rsidRPr="00067991" w14:paraId="495DC6BA" w14:textId="77777777" w:rsidTr="00EC6B70">
        <w:trPr>
          <w:trHeight w:val="422"/>
        </w:trPr>
        <w:tc>
          <w:tcPr>
            <w:tcW w:w="3348" w:type="dxa"/>
            <w:vAlign w:val="center"/>
          </w:tcPr>
          <w:p w14:paraId="6A908A0C" w14:textId="77777777" w:rsidR="00642643" w:rsidRPr="009C07DA" w:rsidRDefault="00642643" w:rsidP="00E660E7">
            <w:pPr>
              <w:pStyle w:val="NormalWeb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07DA">
              <w:rPr>
                <w:rFonts w:ascii="Calibri" w:hAnsi="Calibri"/>
                <w:b/>
                <w:sz w:val="20"/>
                <w:szCs w:val="20"/>
              </w:rPr>
              <w:t>Teaching/Instruction</w:t>
            </w:r>
          </w:p>
        </w:tc>
        <w:tc>
          <w:tcPr>
            <w:tcW w:w="3240" w:type="dxa"/>
            <w:vAlign w:val="center"/>
          </w:tcPr>
          <w:p w14:paraId="460CE5CC" w14:textId="77777777" w:rsidR="00642643" w:rsidRPr="009C07DA" w:rsidRDefault="00642643" w:rsidP="00E660E7">
            <w:pPr>
              <w:pStyle w:val="NormalWeb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07DA">
              <w:rPr>
                <w:rFonts w:ascii="Calibri" w:hAnsi="Calibri"/>
                <w:b/>
                <w:sz w:val="20"/>
                <w:szCs w:val="20"/>
              </w:rPr>
              <w:t>Service</w:t>
            </w:r>
          </w:p>
        </w:tc>
        <w:tc>
          <w:tcPr>
            <w:tcW w:w="2430" w:type="dxa"/>
            <w:vAlign w:val="center"/>
          </w:tcPr>
          <w:p w14:paraId="77D88B1D" w14:textId="77777777" w:rsidR="00642643" w:rsidRPr="009C07DA" w:rsidRDefault="00642643" w:rsidP="00E660E7">
            <w:pPr>
              <w:pStyle w:val="NormalWeb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07DA">
              <w:rPr>
                <w:rFonts w:ascii="Calibri" w:hAnsi="Calibri"/>
                <w:b/>
                <w:sz w:val="20"/>
                <w:szCs w:val="20"/>
              </w:rPr>
              <w:t>Special Assignments</w:t>
            </w:r>
          </w:p>
        </w:tc>
      </w:tr>
      <w:tr w:rsidR="00BB75D1" w:rsidRPr="00067991" w14:paraId="582E5673" w14:textId="77777777" w:rsidTr="00332D4F">
        <w:trPr>
          <w:trHeight w:val="5381"/>
        </w:trPr>
        <w:tc>
          <w:tcPr>
            <w:tcW w:w="3348" w:type="dxa"/>
          </w:tcPr>
          <w:p w14:paraId="2D9DBCB1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7F4E14">
              <w:rPr>
                <w:b/>
                <w:sz w:val="18"/>
                <w:szCs w:val="18"/>
              </w:rPr>
              <w:t>Evidence of sustained</w:t>
            </w:r>
            <w:r w:rsidRPr="009C07DA">
              <w:rPr>
                <w:b/>
                <w:sz w:val="18"/>
                <w:szCs w:val="18"/>
              </w:rPr>
              <w:t xml:space="preserve"> high quality instructional skills</w:t>
            </w:r>
            <w:r w:rsidRPr="009C07DA">
              <w:rPr>
                <w:sz w:val="18"/>
                <w:szCs w:val="18"/>
              </w:rPr>
              <w:t xml:space="preserve"> and promise of continuing excellence as a teacher as evidenced by student and peer evaluations</w:t>
            </w:r>
          </w:p>
          <w:p w14:paraId="175C9417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9C07DA">
              <w:rPr>
                <w:sz w:val="18"/>
                <w:szCs w:val="18"/>
              </w:rPr>
              <w:t xml:space="preserve">A </w:t>
            </w:r>
            <w:r w:rsidRPr="009C07DA">
              <w:rPr>
                <w:b/>
                <w:sz w:val="18"/>
                <w:szCs w:val="18"/>
              </w:rPr>
              <w:t>continuous record of excellence as an educator</w:t>
            </w:r>
            <w:r w:rsidRPr="009C07DA">
              <w:rPr>
                <w:sz w:val="18"/>
                <w:szCs w:val="18"/>
              </w:rPr>
              <w:t>, regularly achieving evaluation scores/ratings/rankings that meet or exceed the unit’s norm</w:t>
            </w:r>
          </w:p>
          <w:p w14:paraId="55A9FC43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9C07DA">
              <w:rPr>
                <w:b/>
                <w:sz w:val="18"/>
                <w:szCs w:val="18"/>
              </w:rPr>
              <w:t>Significant instructional contributions</w:t>
            </w:r>
            <w:r w:rsidRPr="009C07DA">
              <w:rPr>
                <w:sz w:val="18"/>
                <w:szCs w:val="18"/>
              </w:rPr>
              <w:t xml:space="preserve"> to the mission of the academic units (program, college, university)</w:t>
            </w:r>
          </w:p>
          <w:p w14:paraId="753F823C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7F4E14">
              <w:rPr>
                <w:b/>
                <w:sz w:val="18"/>
                <w:szCs w:val="18"/>
              </w:rPr>
              <w:t>Attendance</w:t>
            </w:r>
            <w:r w:rsidRPr="009C07DA">
              <w:rPr>
                <w:sz w:val="18"/>
                <w:szCs w:val="18"/>
              </w:rPr>
              <w:t xml:space="preserve"> at local, state, and/or national conferences/workshops/courses related to </w:t>
            </w:r>
            <w:r w:rsidR="00332E93">
              <w:rPr>
                <w:sz w:val="18"/>
                <w:szCs w:val="18"/>
              </w:rPr>
              <w:t>integrated care</w:t>
            </w:r>
            <w:r w:rsidRPr="009C07DA">
              <w:rPr>
                <w:sz w:val="18"/>
                <w:szCs w:val="18"/>
              </w:rPr>
              <w:t xml:space="preserve"> theories, practices, and procedures</w:t>
            </w:r>
          </w:p>
          <w:p w14:paraId="20742738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7F4E14">
              <w:rPr>
                <w:b/>
                <w:sz w:val="18"/>
                <w:szCs w:val="18"/>
              </w:rPr>
              <w:t>Attendance</w:t>
            </w:r>
            <w:r w:rsidRPr="009C07DA">
              <w:rPr>
                <w:sz w:val="18"/>
                <w:szCs w:val="18"/>
              </w:rPr>
              <w:t xml:space="preserve"> at local, state, and/or national conferences/workshops/courses related to one’s chosen area(s) of professional expertise</w:t>
            </w:r>
          </w:p>
          <w:p w14:paraId="231146B8" w14:textId="77777777" w:rsidR="00642643" w:rsidRPr="009C07DA" w:rsidRDefault="007839BE" w:rsidP="007F4E14">
            <w:pPr>
              <w:pStyle w:val="MediumShading1-Accent11"/>
              <w:numPr>
                <w:ilvl w:val="0"/>
                <w:numId w:val="5"/>
              </w:numPr>
              <w:ind w:left="270" w:hanging="270"/>
              <w:rPr>
                <w:sz w:val="18"/>
                <w:szCs w:val="18"/>
              </w:rPr>
            </w:pPr>
            <w:r w:rsidRPr="009C07DA">
              <w:rPr>
                <w:b/>
                <w:sz w:val="18"/>
                <w:szCs w:val="18"/>
              </w:rPr>
              <w:t xml:space="preserve">Serve as chair </w:t>
            </w:r>
            <w:r w:rsidR="00034030" w:rsidRPr="009C07DA">
              <w:rPr>
                <w:b/>
                <w:sz w:val="18"/>
                <w:szCs w:val="18"/>
              </w:rPr>
              <w:t xml:space="preserve">and </w:t>
            </w:r>
            <w:r w:rsidRPr="009C07DA">
              <w:rPr>
                <w:b/>
                <w:sz w:val="18"/>
                <w:szCs w:val="18"/>
              </w:rPr>
              <w:t xml:space="preserve">member of </w:t>
            </w:r>
            <w:r w:rsidR="00034030" w:rsidRPr="009C07DA">
              <w:rPr>
                <w:b/>
                <w:sz w:val="18"/>
                <w:szCs w:val="18"/>
              </w:rPr>
              <w:t>doctoral Culminating Projects</w:t>
            </w:r>
          </w:p>
        </w:tc>
        <w:tc>
          <w:tcPr>
            <w:tcW w:w="3240" w:type="dxa"/>
          </w:tcPr>
          <w:p w14:paraId="68D2BD3C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9C07DA">
              <w:rPr>
                <w:b/>
                <w:sz w:val="18"/>
                <w:szCs w:val="18"/>
              </w:rPr>
              <w:t>Leadership</w:t>
            </w:r>
            <w:r w:rsidRPr="009C07DA">
              <w:rPr>
                <w:sz w:val="18"/>
                <w:szCs w:val="18"/>
              </w:rPr>
              <w:t xml:space="preserve"> of unit level committees</w:t>
            </w:r>
          </w:p>
          <w:p w14:paraId="77B29011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9C07DA">
              <w:rPr>
                <w:b/>
                <w:sz w:val="18"/>
                <w:szCs w:val="18"/>
              </w:rPr>
              <w:t>Leadership</w:t>
            </w:r>
            <w:r w:rsidRPr="009C07DA">
              <w:rPr>
                <w:sz w:val="18"/>
                <w:szCs w:val="18"/>
              </w:rPr>
              <w:t xml:space="preserve"> of College and/or University level committees</w:t>
            </w:r>
            <w:r w:rsidR="00034030" w:rsidRPr="009C07DA">
              <w:rPr>
                <w:sz w:val="18"/>
                <w:szCs w:val="18"/>
              </w:rPr>
              <w:t xml:space="preserve"> (as indicated)</w:t>
            </w:r>
          </w:p>
          <w:p w14:paraId="184DE440" w14:textId="77777777" w:rsidR="007839BE" w:rsidRPr="009C07DA" w:rsidRDefault="007839BE" w:rsidP="007F4E1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9C07DA">
              <w:rPr>
                <w:sz w:val="18"/>
                <w:szCs w:val="18"/>
              </w:rPr>
              <w:t xml:space="preserve">Evidence of </w:t>
            </w:r>
            <w:r w:rsidR="00363BFF">
              <w:rPr>
                <w:b/>
                <w:sz w:val="18"/>
                <w:szCs w:val="18"/>
              </w:rPr>
              <w:t xml:space="preserve">sustained, </w:t>
            </w:r>
            <w:r w:rsidRPr="009C07DA">
              <w:rPr>
                <w:b/>
                <w:sz w:val="18"/>
                <w:szCs w:val="18"/>
              </w:rPr>
              <w:t>significant, and expanding service</w:t>
            </w:r>
            <w:r w:rsidRPr="009C07DA">
              <w:rPr>
                <w:sz w:val="18"/>
                <w:szCs w:val="18"/>
              </w:rPr>
              <w:t xml:space="preserve"> within academic, community, and professional units since appointed as a </w:t>
            </w:r>
            <w:r w:rsidR="00034030" w:rsidRPr="009C07DA">
              <w:rPr>
                <w:sz w:val="18"/>
                <w:szCs w:val="18"/>
              </w:rPr>
              <w:t>Clinical Assistant Professor</w:t>
            </w:r>
          </w:p>
          <w:p w14:paraId="7F3A1954" w14:textId="77777777" w:rsidR="007839BE" w:rsidRPr="009C07DA" w:rsidRDefault="007839BE" w:rsidP="007F4E14">
            <w:pPr>
              <w:numPr>
                <w:ilvl w:val="0"/>
                <w:numId w:val="5"/>
              </w:numPr>
              <w:ind w:left="270" w:hanging="270"/>
              <w:rPr>
                <w:sz w:val="18"/>
                <w:szCs w:val="18"/>
              </w:rPr>
            </w:pPr>
            <w:r w:rsidRPr="009C07DA">
              <w:rPr>
                <w:sz w:val="18"/>
                <w:szCs w:val="18"/>
              </w:rPr>
              <w:t xml:space="preserve">Evidence of </w:t>
            </w:r>
            <w:r w:rsidRPr="009C07DA">
              <w:rPr>
                <w:b/>
                <w:sz w:val="18"/>
                <w:szCs w:val="18"/>
              </w:rPr>
              <w:t>increasing levels of responsibility</w:t>
            </w:r>
            <w:r w:rsidRPr="009C07DA">
              <w:rPr>
                <w:sz w:val="18"/>
                <w:szCs w:val="18"/>
              </w:rPr>
              <w:t xml:space="preserve"> within at least one of the three units of service (academic, community, and professional) since appointed as a </w:t>
            </w:r>
            <w:r w:rsidR="00034030" w:rsidRPr="009C07DA">
              <w:rPr>
                <w:sz w:val="18"/>
                <w:szCs w:val="18"/>
              </w:rPr>
              <w:t>Clinical Assistant Professor</w:t>
            </w:r>
          </w:p>
          <w:p w14:paraId="72EAA08D" w14:textId="77777777" w:rsidR="00642643" w:rsidRPr="009C07DA" w:rsidRDefault="00642643" w:rsidP="007839BE">
            <w:pPr>
              <w:pStyle w:val="MediumShading1-Accent11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E1E36F0" w14:textId="77777777" w:rsidR="00642643" w:rsidRPr="00067991" w:rsidRDefault="00642643" w:rsidP="00887A8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D11C3A" w14:textId="77777777" w:rsidR="00FE0108" w:rsidRPr="00947623" w:rsidRDefault="00F91947" w:rsidP="005017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FE0108">
        <w:rPr>
          <w:b/>
          <w:sz w:val="28"/>
          <w:szCs w:val="28"/>
        </w:rPr>
        <w:lastRenderedPageBreak/>
        <w:t xml:space="preserve">Appointment/Retention/Promotion Criteria:  </w:t>
      </w:r>
      <w:r w:rsidR="009443C4" w:rsidRPr="00295C00">
        <w:rPr>
          <w:b/>
          <w:sz w:val="28"/>
          <w:szCs w:val="28"/>
        </w:rPr>
        <w:t>Clinical Professor</w:t>
      </w:r>
    </w:p>
    <w:p w14:paraId="5B34D361" w14:textId="6FD437C5" w:rsidR="00DD7435" w:rsidRPr="006F0425" w:rsidRDefault="00DD7435" w:rsidP="00DD7435">
      <w:pPr>
        <w:pStyle w:val="MediumShading1-Accent11"/>
      </w:pPr>
      <w:r>
        <w:t>**</w:t>
      </w:r>
      <w:r w:rsidR="006A455E" w:rsidRPr="006F0425">
        <w:t>An ad hoc Personnel Committee of no fewer than four full-time clinical faculty members will make all promotion recommendations</w:t>
      </w:r>
      <w:r w:rsidRPr="006F0425">
        <w:t xml:space="preserve">. When appropriate, up to </w:t>
      </w:r>
      <w:r w:rsidR="00CD34F7">
        <w:t>three</w:t>
      </w:r>
      <w:r w:rsidR="00CD34F7" w:rsidRPr="006F0425">
        <w:t xml:space="preserve"> </w:t>
      </w:r>
      <w:r w:rsidRPr="006F0425">
        <w:t>committee members may be recruited from outside the DBH Program but within the College of Health Solutions</w:t>
      </w:r>
      <w:r w:rsidR="00763253" w:rsidRPr="006F0425">
        <w:t>.</w:t>
      </w:r>
      <w:r w:rsidR="006A7F55">
        <w:t xml:space="preserve"> Members of the ad hoc committee must be at the rank of clinical professor. </w:t>
      </w:r>
      <w:r w:rsidRPr="006F0425">
        <w:t>**</w:t>
      </w:r>
    </w:p>
    <w:p w14:paraId="149E2940" w14:textId="77777777" w:rsidR="00DD7435" w:rsidRPr="006F0425" w:rsidRDefault="00DD7435" w:rsidP="00DD7435">
      <w:pPr>
        <w:pStyle w:val="MediumShading1-Accent11"/>
      </w:pPr>
    </w:p>
    <w:p w14:paraId="12A13D24" w14:textId="49561CC3" w:rsidR="0098252E" w:rsidRPr="006F0425" w:rsidRDefault="0098252E" w:rsidP="0098252E">
      <w:pPr>
        <w:spacing w:after="0" w:line="240" w:lineRule="auto"/>
        <w:rPr>
          <w:b/>
        </w:rPr>
      </w:pPr>
      <w:r w:rsidRPr="006F0425">
        <w:rPr>
          <w:b/>
        </w:rPr>
        <w:t xml:space="preserve">NOTE:  </w:t>
      </w:r>
      <w:r w:rsidRPr="006F0425">
        <w:t xml:space="preserve">As designated by the program director and/or Dean’s office, each </w:t>
      </w:r>
      <w:r w:rsidR="00034030" w:rsidRPr="006F0425">
        <w:t>Clinical Associate Professor</w:t>
      </w:r>
      <w:r w:rsidRPr="006F0425">
        <w:t xml:space="preserve"> may also be assigned a specific workload distribution related to program administration/coordination or any other relevant category.   If, for example, a </w:t>
      </w:r>
      <w:r w:rsidR="00034030" w:rsidRPr="006F0425">
        <w:t xml:space="preserve">Clinical Associate Professor </w:t>
      </w:r>
      <w:r w:rsidR="006A455E" w:rsidRPr="006F0425">
        <w:t>were</w:t>
      </w:r>
      <w:r w:rsidRPr="006F0425">
        <w:t xml:space="preserve"> assigned an administrative position that represents 30% of his/her workload, expectations for instructional, scholarship, and/or service responsibilities would be reduced as appropriate.  In addition, scholarship/creative innovation is not a required or typical component of this position</w:t>
      </w:r>
      <w:r w:rsidR="006A7F55">
        <w:t>;</w:t>
      </w:r>
      <w:r w:rsidRPr="006F0425">
        <w:t xml:space="preserve"> however an individual workload </w:t>
      </w:r>
      <w:r w:rsidR="006A455E" w:rsidRPr="006F0425">
        <w:t>distribution may</w:t>
      </w:r>
      <w:r w:rsidRPr="006F0425">
        <w:t xml:space="preserve"> be </w:t>
      </w:r>
      <w:r w:rsidR="006A7F55">
        <w:t>adjusted</w:t>
      </w:r>
      <w:r w:rsidRPr="006F0425">
        <w:t xml:space="preserve"> to reflect a scholarship expectation.  If no scholarship component is defined, any productivity in this area may be viewed as an enhancement to overall productivity and personal achievement</w:t>
      </w:r>
      <w:r w:rsidR="007907FF" w:rsidRPr="006F0425">
        <w:t>.</w:t>
      </w:r>
    </w:p>
    <w:p w14:paraId="4EB34D18" w14:textId="77777777" w:rsidR="0098252E" w:rsidRPr="006F0425" w:rsidRDefault="0098252E" w:rsidP="00FE0108">
      <w:pPr>
        <w:pStyle w:val="MediumShading1-Accent11"/>
        <w:rPr>
          <w:b/>
        </w:rPr>
      </w:pPr>
    </w:p>
    <w:p w14:paraId="4FA16257" w14:textId="77777777" w:rsidR="00FE0108" w:rsidRPr="006F0425" w:rsidRDefault="00FE0108" w:rsidP="00FE0108">
      <w:pPr>
        <w:pStyle w:val="MediumShading1-Accent11"/>
        <w:rPr>
          <w:b/>
        </w:rPr>
      </w:pPr>
      <w:r w:rsidRPr="006F0425">
        <w:rPr>
          <w:b/>
        </w:rPr>
        <w:t xml:space="preserve">Required Qualifications:  </w:t>
      </w:r>
    </w:p>
    <w:p w14:paraId="7D468E86" w14:textId="77777777" w:rsidR="00B04E82" w:rsidRPr="006F0425" w:rsidRDefault="007839BE" w:rsidP="00B04E82">
      <w:pPr>
        <w:numPr>
          <w:ilvl w:val="0"/>
          <w:numId w:val="2"/>
        </w:numPr>
        <w:spacing w:after="0" w:line="240" w:lineRule="auto"/>
      </w:pPr>
      <w:r w:rsidRPr="006F0425">
        <w:t xml:space="preserve">A </w:t>
      </w:r>
      <w:r w:rsidR="00034030" w:rsidRPr="006F0425">
        <w:t>Clinical Professor</w:t>
      </w:r>
      <w:r w:rsidRPr="006F0425">
        <w:t xml:space="preserve"> </w:t>
      </w:r>
      <w:r w:rsidR="00034030" w:rsidRPr="006F0425">
        <w:t xml:space="preserve">must </w:t>
      </w:r>
      <w:r w:rsidRPr="006F0425">
        <w:t xml:space="preserve">hold a </w:t>
      </w:r>
      <w:r w:rsidRPr="006F0425">
        <w:rPr>
          <w:b/>
        </w:rPr>
        <w:t>doctoral degree</w:t>
      </w:r>
      <w:r w:rsidRPr="006F0425">
        <w:t xml:space="preserve"> </w:t>
      </w:r>
      <w:r w:rsidR="00034030" w:rsidRPr="006F0425">
        <w:t>in their area of expertise</w:t>
      </w:r>
      <w:r w:rsidR="00B04E82" w:rsidRPr="006F0425">
        <w:t xml:space="preserve"> </w:t>
      </w:r>
    </w:p>
    <w:p w14:paraId="16D6B29A" w14:textId="77777777" w:rsidR="00B04E82" w:rsidRPr="006F0425" w:rsidRDefault="007839BE" w:rsidP="00B04E82">
      <w:pPr>
        <w:numPr>
          <w:ilvl w:val="0"/>
          <w:numId w:val="2"/>
        </w:numPr>
        <w:spacing w:after="0" w:line="240" w:lineRule="auto"/>
      </w:pPr>
      <w:r w:rsidRPr="006F0425">
        <w:t xml:space="preserve">A minimum of </w:t>
      </w:r>
      <w:r w:rsidR="00321B4E">
        <w:rPr>
          <w:b/>
        </w:rPr>
        <w:t>seven</w:t>
      </w:r>
      <w:r w:rsidR="00321B4E" w:rsidRPr="006F0425">
        <w:t xml:space="preserve"> </w:t>
      </w:r>
      <w:r w:rsidRPr="006F0425">
        <w:t xml:space="preserve">years of </w:t>
      </w:r>
      <w:r w:rsidRPr="006F0425">
        <w:rPr>
          <w:b/>
        </w:rPr>
        <w:t>college/university-level teaching</w:t>
      </w:r>
      <w:r w:rsidR="00363BFF" w:rsidRPr="006F0425">
        <w:rPr>
          <w:b/>
        </w:rPr>
        <w:t xml:space="preserve"> at an Associate Clinical Professor level</w:t>
      </w:r>
      <w:r w:rsidR="00363BFF" w:rsidRPr="006F0425">
        <w:t xml:space="preserve"> </w:t>
      </w:r>
      <w:r w:rsidRPr="006F0425">
        <w:t>is typically required</w:t>
      </w:r>
    </w:p>
    <w:p w14:paraId="458E849A" w14:textId="77777777" w:rsidR="00FE0108" w:rsidRPr="006F0425" w:rsidRDefault="007839BE" w:rsidP="00B04E82">
      <w:pPr>
        <w:numPr>
          <w:ilvl w:val="0"/>
          <w:numId w:val="2"/>
        </w:numPr>
        <w:spacing w:after="0" w:line="240" w:lineRule="auto"/>
      </w:pPr>
      <w:r w:rsidRPr="006F0425">
        <w:lastRenderedPageBreak/>
        <w:t xml:space="preserve">There must be evidence of continued excellence in meeting </w:t>
      </w:r>
      <w:r w:rsidRPr="006F0425">
        <w:rPr>
          <w:b/>
        </w:rPr>
        <w:t>expanded responsibilities</w:t>
      </w:r>
      <w:r w:rsidRPr="006F0425">
        <w:t xml:space="preserve"> in other assigned areas, such as administrative roles and/or scholarly activities   </w:t>
      </w:r>
    </w:p>
    <w:p w14:paraId="0781ECCD" w14:textId="77777777" w:rsidR="00FE0108" w:rsidRPr="006F0425" w:rsidRDefault="00FE0108" w:rsidP="00FE0108">
      <w:pPr>
        <w:pStyle w:val="MediumShading1-Accent11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3060"/>
        <w:gridCol w:w="2520"/>
      </w:tblGrid>
      <w:tr w:rsidR="00BB75D1" w:rsidRPr="00067991" w14:paraId="47312E0A" w14:textId="77777777" w:rsidTr="00EC6B70">
        <w:trPr>
          <w:trHeight w:val="449"/>
        </w:trPr>
        <w:tc>
          <w:tcPr>
            <w:tcW w:w="3438" w:type="dxa"/>
            <w:vAlign w:val="center"/>
          </w:tcPr>
          <w:p w14:paraId="1E663AAF" w14:textId="77777777" w:rsidR="007839BE" w:rsidRPr="006F0425" w:rsidRDefault="007839BE" w:rsidP="00E660E7">
            <w:pPr>
              <w:pStyle w:val="NormalWeb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0425">
              <w:rPr>
                <w:rFonts w:ascii="Calibri" w:hAnsi="Calibri"/>
                <w:b/>
                <w:sz w:val="20"/>
                <w:szCs w:val="20"/>
              </w:rPr>
              <w:t>Teaching/Instruction</w:t>
            </w:r>
          </w:p>
        </w:tc>
        <w:tc>
          <w:tcPr>
            <w:tcW w:w="3060" w:type="dxa"/>
            <w:vAlign w:val="center"/>
          </w:tcPr>
          <w:p w14:paraId="52E6069E" w14:textId="77777777" w:rsidR="007839BE" w:rsidRPr="006F0425" w:rsidRDefault="007839BE" w:rsidP="00E660E7">
            <w:pPr>
              <w:pStyle w:val="NormalWeb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0425">
              <w:rPr>
                <w:rFonts w:ascii="Calibri" w:hAnsi="Calibri"/>
                <w:b/>
                <w:sz w:val="20"/>
                <w:szCs w:val="20"/>
              </w:rPr>
              <w:t>Service</w:t>
            </w:r>
          </w:p>
        </w:tc>
        <w:tc>
          <w:tcPr>
            <w:tcW w:w="2520" w:type="dxa"/>
            <w:vAlign w:val="center"/>
          </w:tcPr>
          <w:p w14:paraId="5D98BA55" w14:textId="77777777" w:rsidR="007839BE" w:rsidRPr="00F91947" w:rsidRDefault="007839BE" w:rsidP="00E660E7">
            <w:pPr>
              <w:pStyle w:val="NormalWeb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0425">
              <w:rPr>
                <w:rFonts w:ascii="Calibri" w:hAnsi="Calibri"/>
                <w:b/>
                <w:sz w:val="20"/>
                <w:szCs w:val="20"/>
              </w:rPr>
              <w:t>Special Assignments</w:t>
            </w:r>
          </w:p>
        </w:tc>
      </w:tr>
      <w:tr w:rsidR="00BB75D1" w:rsidRPr="00067991" w14:paraId="4531F3F8" w14:textId="77777777" w:rsidTr="00CD34F7">
        <w:trPr>
          <w:trHeight w:val="5840"/>
        </w:trPr>
        <w:tc>
          <w:tcPr>
            <w:tcW w:w="3438" w:type="dxa"/>
          </w:tcPr>
          <w:p w14:paraId="44C00355" w14:textId="77777777" w:rsidR="007839BE" w:rsidRPr="00F91947" w:rsidRDefault="007839BE" w:rsidP="00763253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F91947">
              <w:rPr>
                <w:sz w:val="18"/>
                <w:szCs w:val="18"/>
              </w:rPr>
              <w:t xml:space="preserve">All factors required of </w:t>
            </w:r>
            <w:r w:rsidR="00034030" w:rsidRPr="00F91947">
              <w:rPr>
                <w:sz w:val="18"/>
                <w:szCs w:val="18"/>
              </w:rPr>
              <w:t>Clinical Associate Professor</w:t>
            </w:r>
            <w:r w:rsidRPr="00F91947">
              <w:rPr>
                <w:sz w:val="18"/>
                <w:szCs w:val="18"/>
              </w:rPr>
              <w:t xml:space="preserve"> plus the following enhancements</w:t>
            </w:r>
          </w:p>
          <w:p w14:paraId="154CBB95" w14:textId="77777777" w:rsidR="007839BE" w:rsidRPr="00F91947" w:rsidRDefault="007839BE" w:rsidP="00763253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CC674A">
              <w:rPr>
                <w:b/>
                <w:sz w:val="18"/>
                <w:szCs w:val="18"/>
              </w:rPr>
              <w:t>Development and/or implementation</w:t>
            </w:r>
            <w:r w:rsidRPr="00F91947">
              <w:rPr>
                <w:sz w:val="18"/>
                <w:szCs w:val="18"/>
              </w:rPr>
              <w:t xml:space="preserve"> of innovations and advancements in instructional methods, delivery, activities, and evaluation techniques </w:t>
            </w:r>
          </w:p>
          <w:p w14:paraId="3BC50597" w14:textId="77777777" w:rsidR="007839BE" w:rsidRPr="00F91947" w:rsidRDefault="007839BE" w:rsidP="00763253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F91947">
              <w:rPr>
                <w:b/>
                <w:sz w:val="18"/>
                <w:szCs w:val="18"/>
              </w:rPr>
              <w:t>Active participation</w:t>
            </w:r>
            <w:r w:rsidRPr="00F91947">
              <w:rPr>
                <w:sz w:val="18"/>
                <w:szCs w:val="18"/>
              </w:rPr>
              <w:t xml:space="preserve"> in state and/or national conferences/workshops/courses related to </w:t>
            </w:r>
            <w:r w:rsidR="00332E93">
              <w:rPr>
                <w:sz w:val="18"/>
                <w:szCs w:val="18"/>
              </w:rPr>
              <w:t>the field of integrated care</w:t>
            </w:r>
            <w:r w:rsidRPr="00F91947">
              <w:rPr>
                <w:sz w:val="18"/>
                <w:szCs w:val="18"/>
              </w:rPr>
              <w:t xml:space="preserve">, practices, and procedures (presenter, program moderator, conference planner, </w:t>
            </w:r>
            <w:proofErr w:type="spellStart"/>
            <w:r w:rsidRPr="00F91947">
              <w:rPr>
                <w:sz w:val="18"/>
                <w:szCs w:val="18"/>
              </w:rPr>
              <w:t>etc</w:t>
            </w:r>
            <w:proofErr w:type="spellEnd"/>
            <w:r w:rsidRPr="00F91947">
              <w:rPr>
                <w:sz w:val="18"/>
                <w:szCs w:val="18"/>
              </w:rPr>
              <w:t>)</w:t>
            </w:r>
          </w:p>
          <w:p w14:paraId="1074501E" w14:textId="77777777" w:rsidR="007839BE" w:rsidRPr="00F91947" w:rsidRDefault="007839BE" w:rsidP="00763253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F91947">
              <w:rPr>
                <w:b/>
                <w:sz w:val="18"/>
                <w:szCs w:val="18"/>
              </w:rPr>
              <w:t>Additional and more expansive</w:t>
            </w:r>
            <w:r w:rsidRPr="00F91947">
              <w:rPr>
                <w:sz w:val="18"/>
                <w:szCs w:val="18"/>
              </w:rPr>
              <w:t xml:space="preserve"> professional presentations and/or publications (not necessarily peer-reviewed journals) related to </w:t>
            </w:r>
            <w:r w:rsidR="00332E93">
              <w:rPr>
                <w:sz w:val="18"/>
                <w:szCs w:val="18"/>
              </w:rPr>
              <w:t>the field of integrated care</w:t>
            </w:r>
            <w:r w:rsidRPr="00F91947">
              <w:rPr>
                <w:sz w:val="18"/>
                <w:szCs w:val="18"/>
              </w:rPr>
              <w:t>, practices, and procedures</w:t>
            </w:r>
          </w:p>
          <w:p w14:paraId="593255B4" w14:textId="77777777" w:rsidR="007839BE" w:rsidRPr="00F91947" w:rsidRDefault="007839BE" w:rsidP="00763253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CC674A">
              <w:rPr>
                <w:b/>
                <w:sz w:val="18"/>
                <w:szCs w:val="18"/>
              </w:rPr>
              <w:t xml:space="preserve">Development </w:t>
            </w:r>
            <w:r w:rsidRPr="00F91947">
              <w:rPr>
                <w:sz w:val="18"/>
                <w:szCs w:val="18"/>
              </w:rPr>
              <w:t>of new courses, academic programs, etc.</w:t>
            </w:r>
          </w:p>
          <w:p w14:paraId="7B0ECD2D" w14:textId="235EFD81" w:rsidR="007839BE" w:rsidRPr="00053FE6" w:rsidRDefault="007839BE" w:rsidP="00CD3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1E2420B" w14:textId="77777777" w:rsidR="007839BE" w:rsidRPr="00F91947" w:rsidRDefault="007839BE" w:rsidP="00763253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sz w:val="18"/>
                <w:szCs w:val="18"/>
              </w:rPr>
            </w:pPr>
            <w:r w:rsidRPr="00F91947">
              <w:rPr>
                <w:sz w:val="18"/>
                <w:szCs w:val="18"/>
              </w:rPr>
              <w:t xml:space="preserve">All factors required of </w:t>
            </w:r>
            <w:r w:rsidR="00034030" w:rsidRPr="00F91947">
              <w:rPr>
                <w:sz w:val="18"/>
                <w:szCs w:val="18"/>
              </w:rPr>
              <w:t>Clinical Associate Professor</w:t>
            </w:r>
            <w:r w:rsidRPr="00F91947">
              <w:rPr>
                <w:sz w:val="18"/>
                <w:szCs w:val="18"/>
              </w:rPr>
              <w:t xml:space="preserve"> plus the following enhancements</w:t>
            </w:r>
          </w:p>
          <w:p w14:paraId="600C5BDD" w14:textId="77777777" w:rsidR="007839BE" w:rsidRPr="00F91947" w:rsidRDefault="00CC674A" w:rsidP="00763253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sz w:val="18"/>
                <w:szCs w:val="18"/>
              </w:rPr>
            </w:pPr>
            <w:r w:rsidRPr="00CC674A">
              <w:rPr>
                <w:b/>
                <w:sz w:val="18"/>
                <w:szCs w:val="18"/>
              </w:rPr>
              <w:t>Exceptional</w:t>
            </w:r>
            <w:r w:rsidR="007839BE" w:rsidRPr="00CC674A">
              <w:rPr>
                <w:b/>
                <w:sz w:val="18"/>
                <w:szCs w:val="18"/>
              </w:rPr>
              <w:t>, sustained, and expanding service</w:t>
            </w:r>
            <w:r w:rsidR="007839BE" w:rsidRPr="00F91947">
              <w:rPr>
                <w:sz w:val="18"/>
                <w:szCs w:val="18"/>
              </w:rPr>
              <w:t xml:space="preserve"> within academic, community, and professional units since promotion to or appointment as </w:t>
            </w:r>
            <w:r w:rsidR="00034030" w:rsidRPr="00F91947">
              <w:rPr>
                <w:sz w:val="18"/>
                <w:szCs w:val="18"/>
              </w:rPr>
              <w:t>Clinical Associate Professor</w:t>
            </w:r>
          </w:p>
          <w:p w14:paraId="552D0C25" w14:textId="77777777" w:rsidR="007839BE" w:rsidRPr="00F91947" w:rsidRDefault="007839BE" w:rsidP="00763253">
            <w:pPr>
              <w:pStyle w:val="MediumShading1-Accent11"/>
              <w:numPr>
                <w:ilvl w:val="0"/>
                <w:numId w:val="4"/>
              </w:numPr>
              <w:ind w:left="252" w:hanging="252"/>
              <w:rPr>
                <w:sz w:val="18"/>
                <w:szCs w:val="18"/>
              </w:rPr>
            </w:pPr>
            <w:r w:rsidRPr="00CC674A">
              <w:rPr>
                <w:b/>
                <w:sz w:val="18"/>
                <w:szCs w:val="18"/>
              </w:rPr>
              <w:t>Evidence of increasing levels of responsibility</w:t>
            </w:r>
            <w:r w:rsidRPr="00F91947">
              <w:rPr>
                <w:sz w:val="18"/>
                <w:szCs w:val="18"/>
              </w:rPr>
              <w:t xml:space="preserve">, including significant leadership roles, within at least two of the three units of service (academic, community, and professional) since </w:t>
            </w:r>
            <w:r w:rsidR="00363BFF">
              <w:rPr>
                <w:sz w:val="18"/>
                <w:szCs w:val="18"/>
              </w:rPr>
              <w:t xml:space="preserve">promotion to or appointment as </w:t>
            </w:r>
            <w:r w:rsidR="00034030" w:rsidRPr="00F91947">
              <w:rPr>
                <w:sz w:val="18"/>
                <w:szCs w:val="18"/>
              </w:rPr>
              <w:t>Clinical Associate Professor</w:t>
            </w:r>
          </w:p>
        </w:tc>
        <w:tc>
          <w:tcPr>
            <w:tcW w:w="2520" w:type="dxa"/>
          </w:tcPr>
          <w:p w14:paraId="3C37D6A3" w14:textId="77777777" w:rsidR="007839BE" w:rsidRPr="00F91947" w:rsidRDefault="007839BE" w:rsidP="00887A83">
            <w:pPr>
              <w:pStyle w:val="MediumShading1-Accent11"/>
              <w:rPr>
                <w:sz w:val="18"/>
                <w:szCs w:val="18"/>
              </w:rPr>
            </w:pPr>
          </w:p>
        </w:tc>
      </w:tr>
    </w:tbl>
    <w:p w14:paraId="2869593F" w14:textId="77777777" w:rsidR="00FE0108" w:rsidRDefault="00FE0108" w:rsidP="00FE0108">
      <w:pPr>
        <w:pStyle w:val="MediumShading1-Accent11"/>
      </w:pPr>
    </w:p>
    <w:sectPr w:rsidR="00FE0108" w:rsidSect="00EC6B70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C366" w14:textId="77777777" w:rsidR="006A455E" w:rsidRDefault="006A455E" w:rsidP="00EC6B70">
      <w:pPr>
        <w:spacing w:after="0" w:line="240" w:lineRule="auto"/>
      </w:pPr>
      <w:r>
        <w:separator/>
      </w:r>
    </w:p>
  </w:endnote>
  <w:endnote w:type="continuationSeparator" w:id="0">
    <w:p w14:paraId="67E51852" w14:textId="77777777" w:rsidR="006A455E" w:rsidRDefault="006A455E" w:rsidP="00EC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622D" w14:textId="1108998D" w:rsidR="00EC6B70" w:rsidRPr="00EC6B70" w:rsidRDefault="00EC6B70">
    <w:pPr>
      <w:pStyle w:val="Footer"/>
      <w:rPr>
        <w:sz w:val="18"/>
        <w:szCs w:val="18"/>
      </w:rPr>
    </w:pPr>
    <w:r w:rsidRPr="00EC6B70">
      <w:rPr>
        <w:sz w:val="18"/>
        <w:szCs w:val="18"/>
      </w:rPr>
      <w:t>R</w:t>
    </w:r>
    <w:r w:rsidR="00363BFF">
      <w:rPr>
        <w:sz w:val="18"/>
        <w:szCs w:val="18"/>
      </w:rPr>
      <w:t xml:space="preserve">evised </w:t>
    </w:r>
    <w:r w:rsidR="00CD34F7">
      <w:rPr>
        <w:sz w:val="18"/>
        <w:szCs w:val="18"/>
      </w:rPr>
      <w:t>8/4</w:t>
    </w:r>
    <w:r w:rsidRPr="00EC6B70">
      <w:rPr>
        <w:sz w:val="18"/>
        <w:szCs w:val="18"/>
      </w:rPr>
      <w:t>/201</w:t>
    </w:r>
    <w:r w:rsidR="006A455E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8BCB" w14:textId="77777777" w:rsidR="006A455E" w:rsidRDefault="006A455E" w:rsidP="00EC6B70">
      <w:pPr>
        <w:spacing w:after="0" w:line="240" w:lineRule="auto"/>
      </w:pPr>
      <w:r>
        <w:separator/>
      </w:r>
    </w:p>
  </w:footnote>
  <w:footnote w:type="continuationSeparator" w:id="0">
    <w:p w14:paraId="4FB340FF" w14:textId="77777777" w:rsidR="006A455E" w:rsidRDefault="006A455E" w:rsidP="00EC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0E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5598E"/>
    <w:multiLevelType w:val="hybridMultilevel"/>
    <w:tmpl w:val="D90E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3427"/>
    <w:multiLevelType w:val="hybridMultilevel"/>
    <w:tmpl w:val="0224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D22"/>
    <w:multiLevelType w:val="hybridMultilevel"/>
    <w:tmpl w:val="819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85E"/>
    <w:multiLevelType w:val="hybridMultilevel"/>
    <w:tmpl w:val="5F2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8"/>
    <w:rsid w:val="0001177A"/>
    <w:rsid w:val="00024373"/>
    <w:rsid w:val="00034030"/>
    <w:rsid w:val="00053FE6"/>
    <w:rsid w:val="00074B97"/>
    <w:rsid w:val="001339BC"/>
    <w:rsid w:val="001965EA"/>
    <w:rsid w:val="001E795F"/>
    <w:rsid w:val="00265EE4"/>
    <w:rsid w:val="00272BA8"/>
    <w:rsid w:val="00295C00"/>
    <w:rsid w:val="002A3D09"/>
    <w:rsid w:val="002B0172"/>
    <w:rsid w:val="002E115A"/>
    <w:rsid w:val="002E5EC6"/>
    <w:rsid w:val="00304140"/>
    <w:rsid w:val="00321B4E"/>
    <w:rsid w:val="00332D4F"/>
    <w:rsid w:val="00332E93"/>
    <w:rsid w:val="00336020"/>
    <w:rsid w:val="00337429"/>
    <w:rsid w:val="00363BFF"/>
    <w:rsid w:val="003A1103"/>
    <w:rsid w:val="003B1D5E"/>
    <w:rsid w:val="003E2091"/>
    <w:rsid w:val="00446C8F"/>
    <w:rsid w:val="005017C1"/>
    <w:rsid w:val="00514C16"/>
    <w:rsid w:val="00594021"/>
    <w:rsid w:val="005C30C4"/>
    <w:rsid w:val="00642643"/>
    <w:rsid w:val="0066720D"/>
    <w:rsid w:val="006A455E"/>
    <w:rsid w:val="006A7F55"/>
    <w:rsid w:val="006F0425"/>
    <w:rsid w:val="00726EC2"/>
    <w:rsid w:val="00763253"/>
    <w:rsid w:val="007839BE"/>
    <w:rsid w:val="007907FF"/>
    <w:rsid w:val="007D6D74"/>
    <w:rsid w:val="007F4E14"/>
    <w:rsid w:val="00887A83"/>
    <w:rsid w:val="009443C4"/>
    <w:rsid w:val="00950DF1"/>
    <w:rsid w:val="0098252E"/>
    <w:rsid w:val="009A7BC0"/>
    <w:rsid w:val="009C07DA"/>
    <w:rsid w:val="00AD2A3A"/>
    <w:rsid w:val="00AF7F03"/>
    <w:rsid w:val="00B04E82"/>
    <w:rsid w:val="00B27980"/>
    <w:rsid w:val="00B83DAC"/>
    <w:rsid w:val="00BB75D1"/>
    <w:rsid w:val="00C24349"/>
    <w:rsid w:val="00C53DE3"/>
    <w:rsid w:val="00CC674A"/>
    <w:rsid w:val="00CD126F"/>
    <w:rsid w:val="00CD34F7"/>
    <w:rsid w:val="00CE1F97"/>
    <w:rsid w:val="00CF0615"/>
    <w:rsid w:val="00D114D7"/>
    <w:rsid w:val="00D137F0"/>
    <w:rsid w:val="00D14731"/>
    <w:rsid w:val="00D92DCC"/>
    <w:rsid w:val="00DD7435"/>
    <w:rsid w:val="00E31B48"/>
    <w:rsid w:val="00E57E3F"/>
    <w:rsid w:val="00E660E7"/>
    <w:rsid w:val="00EC6B70"/>
    <w:rsid w:val="00F64C49"/>
    <w:rsid w:val="00F91947"/>
    <w:rsid w:val="00FE0108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5AC5C"/>
  <w15:docId w15:val="{4BF637F4-60B8-4688-992F-CA4DCA2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99"/>
    <w:qFormat/>
    <w:rsid w:val="00FE010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E0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3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030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71"/>
    <w:rsid w:val="003B1D5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B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6B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6B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Polytechnic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Macchi</dc:creator>
  <cp:keywords/>
  <cp:lastModifiedBy>Lynda Ransdell</cp:lastModifiedBy>
  <cp:revision>2</cp:revision>
  <dcterms:created xsi:type="dcterms:W3CDTF">2015-08-15T00:05:00Z</dcterms:created>
  <dcterms:modified xsi:type="dcterms:W3CDTF">2015-08-15T00:05:00Z</dcterms:modified>
</cp:coreProperties>
</file>