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3960" w14:textId="77777777" w:rsidR="00EB4AB2" w:rsidRDefault="00EB4AB2" w:rsidP="00EB4AB2">
      <w:pPr>
        <w:pStyle w:val="Header"/>
        <w:jc w:val="center"/>
      </w:pPr>
      <w:r>
        <w:rPr>
          <w:noProof/>
        </w:rPr>
        <w:drawing>
          <wp:inline distT="0" distB="0" distL="0" distR="0" wp14:anchorId="3456FC21" wp14:editId="0813592E">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p w14:paraId="63360138" w14:textId="6328C17D" w:rsidR="00EB4AB2" w:rsidRDefault="00EB4AB2" w:rsidP="00EB4AB2">
      <w:pPr>
        <w:spacing w:after="0"/>
        <w:jc w:val="center"/>
        <w:rPr>
          <w:rFonts w:cstheme="minorHAnsi"/>
          <w:b/>
          <w:color w:val="000004"/>
          <w:sz w:val="14"/>
          <w:szCs w:val="24"/>
        </w:rPr>
      </w:pPr>
    </w:p>
    <w:p w14:paraId="29D9A9A5" w14:textId="77777777" w:rsidR="00EB4AB2" w:rsidRPr="00290689" w:rsidRDefault="00EB4AB2" w:rsidP="00EB4AB2">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00"/>
        <w:gridCol w:w="7550"/>
      </w:tblGrid>
      <w:tr w:rsidR="00EB4AB2" w:rsidRPr="00290689" w14:paraId="3D0E4749" w14:textId="77777777" w:rsidTr="00226973">
        <w:trPr>
          <w:trHeight w:hRule="exact" w:val="720"/>
        </w:trPr>
        <w:tc>
          <w:tcPr>
            <w:tcW w:w="1818" w:type="dxa"/>
          </w:tcPr>
          <w:p w14:paraId="1E4DF2CA" w14:textId="77777777" w:rsidR="00EB4AB2" w:rsidRPr="00290689" w:rsidRDefault="00EB4AB2" w:rsidP="00226973">
            <w:pPr>
              <w:rPr>
                <w:rFonts w:ascii="Calibri" w:hAnsi="Calibri" w:cs="Calibri"/>
                <w:b/>
                <w:color w:val="000004"/>
                <w:sz w:val="24"/>
                <w:szCs w:val="24"/>
              </w:rPr>
            </w:pPr>
            <w:r w:rsidRPr="00290689">
              <w:rPr>
                <w:rFonts w:ascii="Calibri" w:hAnsi="Calibri" w:cs="Calibri"/>
                <w:b/>
                <w:color w:val="000004"/>
                <w:sz w:val="24"/>
                <w:szCs w:val="24"/>
              </w:rPr>
              <w:t>College</w:t>
            </w:r>
          </w:p>
          <w:p w14:paraId="2F67ECAD" w14:textId="77777777" w:rsidR="00EB4AB2" w:rsidRPr="00290689" w:rsidRDefault="00EB4AB2" w:rsidP="00226973">
            <w:pPr>
              <w:rPr>
                <w:rFonts w:ascii="Calibri" w:hAnsi="Calibri" w:cs="Calibri"/>
                <w:b/>
                <w:color w:val="000004"/>
                <w:sz w:val="24"/>
                <w:szCs w:val="24"/>
              </w:rPr>
            </w:pPr>
          </w:p>
        </w:tc>
        <w:tc>
          <w:tcPr>
            <w:tcW w:w="7758" w:type="dxa"/>
          </w:tcPr>
          <w:p w14:paraId="40EF72A7" w14:textId="3DB1A252" w:rsidR="00EB4AB2" w:rsidRPr="00B75EF1" w:rsidRDefault="00EB4AB2" w:rsidP="00226973">
            <w:pPr>
              <w:rPr>
                <w:rFonts w:ascii="Calibri" w:hAnsi="Calibri" w:cs="Calibri"/>
                <w:color w:val="000004"/>
                <w:sz w:val="24"/>
                <w:szCs w:val="24"/>
              </w:rPr>
            </w:pPr>
            <w:r w:rsidRPr="00B75EF1">
              <w:rPr>
                <w:rFonts w:ascii="Calibri" w:hAnsi="Calibri" w:cs="Calibri"/>
                <w:color w:val="000004"/>
                <w:sz w:val="24"/>
                <w:szCs w:val="24"/>
              </w:rPr>
              <w:t>Sandra Day O’Connor College of Law</w:t>
            </w:r>
          </w:p>
        </w:tc>
      </w:tr>
      <w:tr w:rsidR="00EB4AB2" w:rsidRPr="00290689" w14:paraId="5D35440A" w14:textId="77777777" w:rsidTr="00226973">
        <w:trPr>
          <w:trHeight w:hRule="exact" w:val="720"/>
        </w:trPr>
        <w:tc>
          <w:tcPr>
            <w:tcW w:w="1818" w:type="dxa"/>
          </w:tcPr>
          <w:p w14:paraId="67D19475" w14:textId="77777777" w:rsidR="00EB4AB2" w:rsidRPr="00290689" w:rsidRDefault="00EB4AB2" w:rsidP="00226973">
            <w:pPr>
              <w:rPr>
                <w:rFonts w:ascii="Calibri" w:hAnsi="Calibri" w:cs="Calibri"/>
                <w:b/>
                <w:color w:val="000004"/>
                <w:sz w:val="24"/>
                <w:szCs w:val="24"/>
              </w:rPr>
            </w:pPr>
            <w:r w:rsidRPr="00290689">
              <w:rPr>
                <w:rFonts w:ascii="Calibri" w:hAnsi="Calibri" w:cs="Calibri"/>
                <w:b/>
                <w:color w:val="000004"/>
                <w:sz w:val="24"/>
                <w:szCs w:val="24"/>
              </w:rPr>
              <w:t>Unit</w:t>
            </w:r>
          </w:p>
          <w:p w14:paraId="6E393DA5" w14:textId="77777777" w:rsidR="00EB4AB2" w:rsidRPr="00290689" w:rsidRDefault="00EB4AB2" w:rsidP="00226973">
            <w:pPr>
              <w:rPr>
                <w:rFonts w:ascii="Calibri" w:hAnsi="Calibri" w:cs="Calibri"/>
                <w:b/>
                <w:color w:val="000004"/>
                <w:sz w:val="24"/>
                <w:szCs w:val="24"/>
              </w:rPr>
            </w:pPr>
          </w:p>
        </w:tc>
        <w:tc>
          <w:tcPr>
            <w:tcW w:w="7758" w:type="dxa"/>
          </w:tcPr>
          <w:p w14:paraId="24FEC76C" w14:textId="2EA17E79" w:rsidR="00EB4AB2" w:rsidRPr="00B75EF1" w:rsidRDefault="00EB4AB2" w:rsidP="00226973">
            <w:pPr>
              <w:rPr>
                <w:rFonts w:ascii="Calibri" w:hAnsi="Calibri" w:cs="Calibri"/>
                <w:color w:val="000004"/>
                <w:sz w:val="24"/>
                <w:szCs w:val="24"/>
              </w:rPr>
            </w:pPr>
            <w:r w:rsidRPr="00B75EF1">
              <w:rPr>
                <w:rFonts w:ascii="Calibri" w:hAnsi="Calibri" w:cs="Calibri"/>
                <w:color w:val="000004"/>
                <w:sz w:val="24"/>
                <w:szCs w:val="24"/>
              </w:rPr>
              <w:t>N/A</w:t>
            </w:r>
          </w:p>
        </w:tc>
      </w:tr>
      <w:tr w:rsidR="00EB4AB2" w:rsidRPr="00290689" w14:paraId="771D8E3E" w14:textId="77777777" w:rsidTr="00226973">
        <w:trPr>
          <w:trHeight w:hRule="exact" w:val="720"/>
        </w:trPr>
        <w:tc>
          <w:tcPr>
            <w:tcW w:w="1818" w:type="dxa"/>
          </w:tcPr>
          <w:p w14:paraId="5F800A40" w14:textId="77777777" w:rsidR="00EB4AB2" w:rsidRPr="00290689" w:rsidRDefault="00EB4AB2" w:rsidP="00226973">
            <w:pPr>
              <w:rPr>
                <w:rFonts w:ascii="Calibri" w:hAnsi="Calibri" w:cs="Calibri"/>
                <w:b/>
                <w:color w:val="000004"/>
                <w:sz w:val="24"/>
                <w:szCs w:val="24"/>
              </w:rPr>
            </w:pPr>
            <w:r w:rsidRPr="00290689">
              <w:rPr>
                <w:rFonts w:ascii="Calibri" w:hAnsi="Calibri" w:cs="Calibri"/>
                <w:b/>
                <w:color w:val="000004"/>
                <w:sz w:val="24"/>
                <w:szCs w:val="24"/>
              </w:rPr>
              <w:t>Document</w:t>
            </w:r>
          </w:p>
          <w:p w14:paraId="4E161230" w14:textId="77777777" w:rsidR="00EB4AB2" w:rsidRPr="00290689" w:rsidRDefault="00EB4AB2" w:rsidP="00226973">
            <w:pPr>
              <w:rPr>
                <w:rFonts w:ascii="Calibri" w:hAnsi="Calibri" w:cs="Calibri"/>
                <w:b/>
                <w:color w:val="000004"/>
                <w:sz w:val="24"/>
                <w:szCs w:val="24"/>
              </w:rPr>
            </w:pPr>
          </w:p>
        </w:tc>
        <w:tc>
          <w:tcPr>
            <w:tcW w:w="7758" w:type="dxa"/>
          </w:tcPr>
          <w:p w14:paraId="269D4F63" w14:textId="77777777" w:rsidR="00EB4AB2" w:rsidRPr="00B75EF1" w:rsidRDefault="00EB4AB2" w:rsidP="00226973">
            <w:pPr>
              <w:rPr>
                <w:rFonts w:ascii="Calibri" w:hAnsi="Calibri" w:cs="Calibri"/>
                <w:color w:val="000004"/>
                <w:sz w:val="24"/>
                <w:szCs w:val="24"/>
              </w:rPr>
            </w:pPr>
            <w:r w:rsidRPr="00B75EF1">
              <w:rPr>
                <w:rFonts w:ascii="Calibri" w:hAnsi="Calibri" w:cs="Calibri"/>
                <w:color w:val="000004"/>
                <w:sz w:val="24"/>
                <w:szCs w:val="24"/>
              </w:rPr>
              <w:t>Standards for Tenure</w:t>
            </w:r>
            <w:r w:rsidR="00D36AF0" w:rsidRPr="00B75EF1">
              <w:rPr>
                <w:rFonts w:ascii="Calibri" w:hAnsi="Calibri" w:cs="Calibri"/>
                <w:color w:val="000004"/>
                <w:sz w:val="24"/>
                <w:szCs w:val="24"/>
              </w:rPr>
              <w:t>, Continuing Status</w:t>
            </w:r>
            <w:r w:rsidRPr="00B75EF1">
              <w:rPr>
                <w:rFonts w:ascii="Calibri" w:hAnsi="Calibri" w:cs="Calibri"/>
                <w:color w:val="000004"/>
                <w:sz w:val="24"/>
                <w:szCs w:val="24"/>
              </w:rPr>
              <w:t xml:space="preserve"> and Promotion</w:t>
            </w:r>
          </w:p>
          <w:p w14:paraId="3FC4AC94" w14:textId="1EC44FDE" w:rsidR="00512E59" w:rsidRPr="00B75EF1" w:rsidRDefault="00512E59" w:rsidP="00512E59">
            <w:pPr>
              <w:rPr>
                <w:rFonts w:ascii="Calibri" w:hAnsi="Calibri" w:cs="Calibri"/>
                <w:color w:val="000004"/>
                <w:sz w:val="24"/>
                <w:szCs w:val="24"/>
              </w:rPr>
            </w:pPr>
            <w:r w:rsidRPr="00B75EF1">
              <w:rPr>
                <w:rFonts w:ascii="Calibri" w:hAnsi="Calibri" w:cs="Calibri"/>
                <w:color w:val="000004"/>
                <w:sz w:val="24"/>
                <w:szCs w:val="24"/>
              </w:rPr>
              <w:t>(Tenure-track faculty, legal writing and clinical APs</w:t>
            </w:r>
            <w:r w:rsidR="008B19A9">
              <w:rPr>
                <w:rFonts w:ascii="Calibri" w:hAnsi="Calibri" w:cs="Calibri"/>
                <w:color w:val="000004"/>
                <w:sz w:val="24"/>
                <w:szCs w:val="24"/>
              </w:rPr>
              <w:t>,</w:t>
            </w:r>
            <w:r w:rsidRPr="00B75EF1">
              <w:rPr>
                <w:rFonts w:ascii="Calibri" w:hAnsi="Calibri" w:cs="Calibri"/>
                <w:color w:val="000004"/>
                <w:sz w:val="24"/>
                <w:szCs w:val="24"/>
              </w:rPr>
              <w:t xml:space="preserve"> and lecturers)</w:t>
            </w:r>
          </w:p>
        </w:tc>
      </w:tr>
    </w:tbl>
    <w:p w14:paraId="43E6D09E" w14:textId="77777777" w:rsidR="00EB4AB2" w:rsidRPr="00290689" w:rsidRDefault="00EB4AB2" w:rsidP="00EB4AB2">
      <w:pPr>
        <w:spacing w:after="0" w:line="240" w:lineRule="auto"/>
        <w:rPr>
          <w:rFonts w:ascii="Calibri" w:hAnsi="Calibri" w:cstheme="minorHAnsi"/>
          <w:color w:val="000004"/>
          <w:sz w:val="24"/>
          <w:szCs w:val="24"/>
        </w:rPr>
      </w:pPr>
    </w:p>
    <w:p w14:paraId="08DE0D0D" w14:textId="77777777" w:rsidR="00EB4AB2" w:rsidRDefault="00EB4AB2" w:rsidP="00EB4AB2">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EB4AB2" w:rsidRPr="00290689" w14:paraId="4767BC37" w14:textId="77777777" w:rsidTr="00B75EF1">
        <w:trPr>
          <w:trHeight w:hRule="exact" w:val="720"/>
        </w:trPr>
        <w:tc>
          <w:tcPr>
            <w:tcW w:w="3458" w:type="dxa"/>
          </w:tcPr>
          <w:p w14:paraId="49A7626C" w14:textId="77777777" w:rsidR="00EB4AB2" w:rsidRPr="00290689" w:rsidRDefault="00EB4AB2" w:rsidP="00226973">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5892" w:type="dxa"/>
            <w:tcBorders>
              <w:left w:val="nil"/>
              <w:bottom w:val="single" w:sz="4" w:space="0" w:color="auto"/>
            </w:tcBorders>
          </w:tcPr>
          <w:p w14:paraId="357793A4" w14:textId="0B0A017D" w:rsidR="00EB4AB2" w:rsidRPr="00B75EF1" w:rsidRDefault="00B75EF1" w:rsidP="00226973">
            <w:pPr>
              <w:rPr>
                <w:rFonts w:ascii="Calibri" w:hAnsi="Calibri" w:cs="Calibri"/>
                <w:color w:val="000004"/>
                <w:sz w:val="24"/>
                <w:szCs w:val="24"/>
              </w:rPr>
            </w:pPr>
            <w:r w:rsidRPr="00B75EF1">
              <w:rPr>
                <w:rFonts w:ascii="Calibri" w:hAnsi="Calibri" w:cs="Calibri"/>
                <w:color w:val="000004"/>
                <w:sz w:val="24"/>
                <w:szCs w:val="24"/>
              </w:rPr>
              <w:t>9/20/2018</w:t>
            </w:r>
          </w:p>
        </w:tc>
      </w:tr>
      <w:tr w:rsidR="00B75EF1" w:rsidRPr="00290689" w14:paraId="480FC859" w14:textId="77777777" w:rsidTr="00B75EF1">
        <w:trPr>
          <w:trHeight w:hRule="exact" w:val="720"/>
        </w:trPr>
        <w:tc>
          <w:tcPr>
            <w:tcW w:w="3458" w:type="dxa"/>
          </w:tcPr>
          <w:p w14:paraId="71AC6850" w14:textId="77777777" w:rsidR="00B75EF1" w:rsidRPr="00290689" w:rsidRDefault="00B75EF1" w:rsidP="00B75EF1">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5892" w:type="dxa"/>
            <w:tcBorders>
              <w:left w:val="nil"/>
            </w:tcBorders>
          </w:tcPr>
          <w:p w14:paraId="7E2AB933" w14:textId="38CD3C47" w:rsidR="00B75EF1" w:rsidRPr="00B75EF1" w:rsidRDefault="00B75EF1" w:rsidP="00B75EF1">
            <w:pPr>
              <w:rPr>
                <w:rFonts w:ascii="Calibri" w:hAnsi="Calibri" w:cs="Calibri"/>
                <w:color w:val="000004"/>
                <w:sz w:val="24"/>
                <w:szCs w:val="24"/>
              </w:rPr>
            </w:pPr>
            <w:r w:rsidRPr="00B75EF1">
              <w:rPr>
                <w:rFonts w:ascii="Calibri" w:hAnsi="Calibri" w:cs="Calibri"/>
                <w:color w:val="000004"/>
                <w:sz w:val="24"/>
                <w:szCs w:val="24"/>
              </w:rPr>
              <w:t>9/20/2018</w:t>
            </w:r>
          </w:p>
        </w:tc>
      </w:tr>
    </w:tbl>
    <w:p w14:paraId="2085CAB0" w14:textId="77777777" w:rsidR="00EB4AB2" w:rsidRPr="00290689" w:rsidRDefault="00EB4AB2" w:rsidP="00EB4AB2">
      <w:pPr>
        <w:spacing w:after="0" w:line="240" w:lineRule="auto"/>
        <w:rPr>
          <w:rFonts w:ascii="Calibri" w:hAnsi="Calibri" w:cstheme="minorHAnsi"/>
          <w:color w:val="000004"/>
          <w:sz w:val="24"/>
          <w:szCs w:val="24"/>
        </w:rPr>
      </w:pPr>
    </w:p>
    <w:p w14:paraId="47BD78EF" w14:textId="77777777" w:rsidR="00EB4AB2" w:rsidRPr="00290689" w:rsidRDefault="00EB4AB2" w:rsidP="00EB4AB2">
      <w:pPr>
        <w:spacing w:after="0" w:line="240" w:lineRule="auto"/>
        <w:rPr>
          <w:rFonts w:ascii="Calibri" w:hAnsi="Calibri" w:cs="Calibri"/>
          <w:b/>
          <w:color w:val="000004"/>
          <w:sz w:val="24"/>
          <w:szCs w:val="24"/>
        </w:rPr>
      </w:pPr>
    </w:p>
    <w:p w14:paraId="4AD54F1A" w14:textId="77777777" w:rsidR="00EB4AB2" w:rsidRDefault="00EB4AB2" w:rsidP="00EB4AB2">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EB4AB2" w:rsidRPr="00290689" w14:paraId="76065AA7" w14:textId="77777777" w:rsidTr="00226973">
        <w:trPr>
          <w:trHeight w:val="720"/>
        </w:trPr>
        <w:tc>
          <w:tcPr>
            <w:tcW w:w="8028" w:type="dxa"/>
          </w:tcPr>
          <w:p w14:paraId="74486FF5" w14:textId="77777777" w:rsidR="00EB4AB2" w:rsidRPr="00290689" w:rsidRDefault="00EB4AB2" w:rsidP="00226973">
            <w:pPr>
              <w:rPr>
                <w:rFonts w:ascii="Calibri" w:hAnsi="Calibri" w:cs="Calibri"/>
                <w:b/>
                <w:color w:val="000004"/>
                <w:sz w:val="24"/>
                <w:szCs w:val="24"/>
              </w:rPr>
            </w:pPr>
          </w:p>
        </w:tc>
        <w:tc>
          <w:tcPr>
            <w:tcW w:w="1548" w:type="dxa"/>
          </w:tcPr>
          <w:p w14:paraId="19FC1034" w14:textId="77777777" w:rsidR="00EB4AB2" w:rsidRPr="00290689" w:rsidRDefault="00EB4AB2" w:rsidP="00226973">
            <w:pPr>
              <w:rPr>
                <w:rFonts w:ascii="Calibri" w:hAnsi="Calibri" w:cs="Calibri"/>
                <w:b/>
                <w:color w:val="000004"/>
                <w:sz w:val="24"/>
                <w:szCs w:val="24"/>
              </w:rPr>
            </w:pPr>
          </w:p>
        </w:tc>
      </w:tr>
      <w:tr w:rsidR="00EB4AB2" w:rsidRPr="00290689" w14:paraId="2DE95482" w14:textId="77777777" w:rsidTr="00226973">
        <w:trPr>
          <w:trHeight w:val="720"/>
        </w:trPr>
        <w:tc>
          <w:tcPr>
            <w:tcW w:w="8028" w:type="dxa"/>
          </w:tcPr>
          <w:p w14:paraId="6CD0A89C" w14:textId="77777777" w:rsidR="00EB4AB2" w:rsidRPr="00290689" w:rsidRDefault="00EB4AB2" w:rsidP="00226973">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1BE150E6" w14:textId="77777777" w:rsidR="00EB4AB2" w:rsidRPr="00290689" w:rsidRDefault="00EB4AB2" w:rsidP="00226973">
            <w:pPr>
              <w:rPr>
                <w:rFonts w:ascii="Calibri" w:hAnsi="Calibri" w:cs="Calibri"/>
                <w:b/>
                <w:color w:val="000004"/>
                <w:sz w:val="24"/>
                <w:szCs w:val="24"/>
              </w:rPr>
            </w:pPr>
            <w:r w:rsidRPr="00290689">
              <w:rPr>
                <w:rFonts w:ascii="Calibri" w:hAnsi="Calibri" w:cs="Calibri"/>
                <w:b/>
                <w:color w:val="000004"/>
                <w:sz w:val="24"/>
                <w:szCs w:val="24"/>
              </w:rPr>
              <w:t>Date</w:t>
            </w:r>
          </w:p>
        </w:tc>
      </w:tr>
    </w:tbl>
    <w:p w14:paraId="6B5BC79B" w14:textId="70DA8D00" w:rsidR="00EB4AB2" w:rsidRDefault="00EB4AB2" w:rsidP="00EB4AB2">
      <w:pPr>
        <w:spacing w:after="0" w:line="240" w:lineRule="auto"/>
        <w:rPr>
          <w:rFonts w:cstheme="minorHAnsi"/>
          <w:b/>
          <w:color w:val="000004"/>
        </w:rPr>
      </w:pPr>
    </w:p>
    <w:p w14:paraId="0B60213B" w14:textId="01E77B07" w:rsidR="00234BDF" w:rsidRDefault="00234BDF" w:rsidP="00EB4AB2">
      <w:pPr>
        <w:spacing w:after="0" w:line="240" w:lineRule="auto"/>
        <w:rPr>
          <w:rFonts w:cstheme="minorHAnsi"/>
          <w:b/>
          <w:color w:val="000004"/>
        </w:rPr>
      </w:pPr>
    </w:p>
    <w:p w14:paraId="28675D90" w14:textId="207D22A0" w:rsidR="00234BDF" w:rsidRDefault="00234BDF" w:rsidP="00EB4AB2">
      <w:pPr>
        <w:spacing w:after="0" w:line="240" w:lineRule="auto"/>
        <w:rPr>
          <w:rFonts w:cstheme="minorHAnsi"/>
          <w:b/>
          <w:color w:val="000004"/>
        </w:rPr>
      </w:pPr>
    </w:p>
    <w:p w14:paraId="7BA61F46" w14:textId="2F0AC7C0" w:rsidR="00234BDF" w:rsidRDefault="00234BDF" w:rsidP="00EB4AB2">
      <w:pPr>
        <w:spacing w:after="0" w:line="240" w:lineRule="auto"/>
        <w:rPr>
          <w:rFonts w:cstheme="minorHAnsi"/>
          <w:b/>
          <w:color w:val="000004"/>
        </w:rPr>
      </w:pPr>
    </w:p>
    <w:p w14:paraId="4B9DEC63" w14:textId="0482716D" w:rsidR="00234BDF" w:rsidRDefault="00234BDF" w:rsidP="00EB4AB2">
      <w:pPr>
        <w:spacing w:after="0" w:line="240" w:lineRule="auto"/>
        <w:rPr>
          <w:rFonts w:cstheme="minorHAnsi"/>
          <w:b/>
          <w:color w:val="000004"/>
        </w:rPr>
      </w:pPr>
    </w:p>
    <w:p w14:paraId="1B4625D0" w14:textId="6D254D6A" w:rsidR="00234BDF" w:rsidRDefault="00234BDF" w:rsidP="00EB4AB2">
      <w:pPr>
        <w:spacing w:after="0" w:line="240" w:lineRule="auto"/>
        <w:rPr>
          <w:rFonts w:cstheme="minorHAnsi"/>
          <w:b/>
          <w:color w:val="000004"/>
        </w:rPr>
      </w:pPr>
    </w:p>
    <w:p w14:paraId="4B17C5D5" w14:textId="6A0D4CA0" w:rsidR="00234BDF" w:rsidRDefault="00234BDF" w:rsidP="00EB4AB2">
      <w:pPr>
        <w:spacing w:after="0" w:line="240" w:lineRule="auto"/>
        <w:rPr>
          <w:rFonts w:cstheme="minorHAnsi"/>
          <w:b/>
          <w:color w:val="000004"/>
        </w:rPr>
      </w:pPr>
    </w:p>
    <w:p w14:paraId="1B418492" w14:textId="3B87A4D7" w:rsidR="00234BDF" w:rsidRDefault="00234BDF" w:rsidP="00EB4AB2">
      <w:pPr>
        <w:spacing w:after="0" w:line="240" w:lineRule="auto"/>
        <w:rPr>
          <w:rFonts w:cstheme="minorHAnsi"/>
          <w:b/>
          <w:color w:val="000004"/>
        </w:rPr>
      </w:pPr>
    </w:p>
    <w:p w14:paraId="5DCB90BD" w14:textId="657C8B2F" w:rsidR="00234BDF" w:rsidRDefault="00234BDF" w:rsidP="00EB4AB2">
      <w:pPr>
        <w:spacing w:after="0" w:line="240" w:lineRule="auto"/>
        <w:rPr>
          <w:rFonts w:cstheme="minorHAnsi"/>
          <w:b/>
          <w:color w:val="000004"/>
        </w:rPr>
      </w:pPr>
    </w:p>
    <w:p w14:paraId="75F472D2" w14:textId="3DE5DFF2" w:rsidR="00234BDF" w:rsidRDefault="00234BDF" w:rsidP="00EB4AB2">
      <w:pPr>
        <w:spacing w:after="0" w:line="240" w:lineRule="auto"/>
        <w:rPr>
          <w:rFonts w:cstheme="minorHAnsi"/>
          <w:b/>
          <w:color w:val="000004"/>
        </w:rPr>
      </w:pPr>
    </w:p>
    <w:p w14:paraId="51FCBCB6" w14:textId="6CD984EF" w:rsidR="00234BDF" w:rsidRPr="00336268" w:rsidRDefault="00234BDF" w:rsidP="00EB4AB2">
      <w:pPr>
        <w:spacing w:after="0" w:line="240" w:lineRule="auto"/>
        <w:rPr>
          <w:rFonts w:cstheme="minorHAnsi"/>
          <w:b/>
          <w:color w:val="000004"/>
        </w:rPr>
      </w:pPr>
    </w:p>
    <w:p w14:paraId="7A4677BF" w14:textId="77777777" w:rsidR="00EB4AB2" w:rsidRPr="003B40B4" w:rsidRDefault="00EB4AB2" w:rsidP="00EB4AB2">
      <w:pPr>
        <w:pStyle w:val="Footer"/>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14:paraId="7C6CCEE6" w14:textId="77777777" w:rsidR="00EB4AB2" w:rsidRDefault="00EB4AB2" w:rsidP="00EB4AB2">
      <w:pPr>
        <w:pStyle w:val="Footer"/>
        <w:jc w:val="center"/>
        <w:rPr>
          <w:rFonts w:ascii="Arial" w:hAnsi="Arial" w:cs="Arial"/>
          <w:color w:val="990000"/>
          <w:sz w:val="14"/>
          <w:szCs w:val="16"/>
        </w:rPr>
      </w:pPr>
    </w:p>
    <w:p w14:paraId="754A38C6" w14:textId="77777777" w:rsidR="00EB4AB2" w:rsidRPr="003B40B4" w:rsidRDefault="00EB4AB2" w:rsidP="00EB4AB2">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14:paraId="3B71016F" w14:textId="77777777" w:rsidR="00EB4AB2" w:rsidRPr="003B40B4" w:rsidRDefault="00EB4AB2" w:rsidP="00EB4AB2">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14:paraId="7950E2C0" w14:textId="77777777" w:rsidR="00EB4AB2" w:rsidRDefault="00EB4AB2" w:rsidP="00EB4AB2">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14:paraId="2F17E161" w14:textId="77777777" w:rsidR="00EB4AB2" w:rsidRPr="003B40B4" w:rsidRDefault="00EB4AB2" w:rsidP="00EB4AB2">
      <w:pPr>
        <w:pStyle w:val="Footer"/>
        <w:jc w:val="center"/>
        <w:rPr>
          <w:rFonts w:ascii="Arial" w:hAnsi="Arial" w:cs="Arial"/>
          <w:sz w:val="20"/>
          <w:szCs w:val="16"/>
        </w:rPr>
      </w:pPr>
      <w:r>
        <w:rPr>
          <w:rFonts w:ascii="Arial" w:hAnsi="Arial" w:cs="Arial"/>
          <w:color w:val="990000"/>
          <w:sz w:val="14"/>
          <w:szCs w:val="16"/>
        </w:rPr>
        <w:t>https://provost.asu.edu/</w:t>
      </w:r>
    </w:p>
    <w:p w14:paraId="422E0301" w14:textId="77777777" w:rsidR="00EB4AB2" w:rsidRDefault="00EB4AB2" w:rsidP="00EB4AB2">
      <w:pPr>
        <w:pStyle w:val="Footer"/>
      </w:pPr>
    </w:p>
    <w:p w14:paraId="7A36231D" w14:textId="330D1463" w:rsidR="00EB4AB2" w:rsidRPr="00F400BF" w:rsidRDefault="00EB4AB2" w:rsidP="00EB4AB2">
      <w:pPr>
        <w:pStyle w:val="Footer"/>
        <w:jc w:val="right"/>
        <w:rPr>
          <w:sz w:val="16"/>
        </w:rPr>
      </w:pPr>
      <w:r>
        <w:rPr>
          <w:sz w:val="16"/>
        </w:rPr>
        <w:fldChar w:fldCharType="begin"/>
      </w:r>
      <w:r>
        <w:rPr>
          <w:sz w:val="16"/>
        </w:rPr>
        <w:instrText xml:space="preserve"> DATE \@ "M/d/yyyy" </w:instrText>
      </w:r>
      <w:r>
        <w:rPr>
          <w:sz w:val="16"/>
        </w:rPr>
        <w:fldChar w:fldCharType="separate"/>
      </w:r>
      <w:r w:rsidR="003049E3">
        <w:rPr>
          <w:noProof/>
          <w:sz w:val="16"/>
        </w:rPr>
        <w:t>1/28/2019</w:t>
      </w:r>
      <w:r>
        <w:rPr>
          <w:sz w:val="16"/>
        </w:rPr>
        <w:fldChar w:fldCharType="end"/>
      </w:r>
    </w:p>
    <w:p w14:paraId="3B0570FB" w14:textId="77777777" w:rsidR="00EB4AB2" w:rsidRPr="00336268" w:rsidRDefault="00EB4AB2" w:rsidP="00EB4AB2">
      <w:pPr>
        <w:spacing w:after="0" w:line="240" w:lineRule="auto"/>
        <w:rPr>
          <w:rFonts w:cstheme="minorHAnsi"/>
          <w:b/>
          <w:color w:val="000004"/>
        </w:rPr>
      </w:pPr>
    </w:p>
    <w:p w14:paraId="0F6E8949" w14:textId="09EE0301" w:rsidR="00EB4AB2" w:rsidRDefault="00EB4AB2">
      <w:pPr>
        <w:rPr>
          <w:rFonts w:ascii="Times New Roman" w:hAnsi="Times New Roman" w:cs="Times New Roman"/>
          <w:sz w:val="24"/>
          <w:szCs w:val="24"/>
        </w:rPr>
      </w:pPr>
      <w:r>
        <w:rPr>
          <w:rFonts w:ascii="Times New Roman" w:hAnsi="Times New Roman" w:cs="Times New Roman"/>
          <w:sz w:val="24"/>
          <w:szCs w:val="24"/>
        </w:rPr>
        <w:br w:type="page"/>
      </w:r>
    </w:p>
    <w:p w14:paraId="681ABF53" w14:textId="503B5667" w:rsidR="008901CE" w:rsidRDefault="008901CE" w:rsidP="008901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 Tenure, Continuing Status, and Promotion</w:t>
      </w:r>
    </w:p>
    <w:p w14:paraId="652AC664" w14:textId="44797173" w:rsidR="008901CE" w:rsidRDefault="008901CE" w:rsidP="008901CE">
      <w:pPr>
        <w:spacing w:line="240" w:lineRule="auto"/>
        <w:rPr>
          <w:rFonts w:ascii="Times New Roman" w:hAnsi="Times New Roman" w:cs="Times New Roman"/>
          <w:sz w:val="24"/>
          <w:szCs w:val="24"/>
        </w:rPr>
      </w:pPr>
      <w:r>
        <w:rPr>
          <w:rFonts w:ascii="Times New Roman" w:hAnsi="Times New Roman" w:cs="Times New Roman"/>
          <w:sz w:val="24"/>
          <w:szCs w:val="24"/>
        </w:rPr>
        <w:t>These standards are effective for faculty candidates.</w:t>
      </w:r>
    </w:p>
    <w:p w14:paraId="3509D21B" w14:textId="77777777" w:rsidR="008901CE" w:rsidRPr="008B0B53" w:rsidRDefault="008901CE" w:rsidP="008901CE">
      <w:pPr>
        <w:spacing w:line="240" w:lineRule="auto"/>
        <w:rPr>
          <w:rFonts w:ascii="Times New Roman" w:hAnsi="Times New Roman" w:cs="Times New Roman"/>
          <w:sz w:val="24"/>
          <w:szCs w:val="24"/>
        </w:rPr>
      </w:pPr>
      <w:r>
        <w:rPr>
          <w:rFonts w:ascii="Times New Roman" w:hAnsi="Times New Roman" w:cs="Times New Roman"/>
          <w:sz w:val="24"/>
          <w:szCs w:val="24"/>
        </w:rPr>
        <w:t>A.  Standards for Tenure and Promotion</w:t>
      </w:r>
    </w:p>
    <w:p w14:paraId="54CE1F3D" w14:textId="77777777" w:rsidR="008901CE" w:rsidRPr="000643C4" w:rsidRDefault="008901CE" w:rsidP="008901CE">
      <w:pPr>
        <w:ind w:left="360"/>
        <w:rPr>
          <w:rFonts w:ascii="Times New Roman" w:hAnsi="Times New Roman" w:cs="Times New Roman"/>
          <w:sz w:val="24"/>
          <w:szCs w:val="24"/>
          <w:u w:val="single"/>
        </w:rPr>
      </w:pPr>
      <w:r w:rsidRPr="000643C4">
        <w:rPr>
          <w:rFonts w:ascii="Times New Roman" w:hAnsi="Times New Roman" w:cs="Times New Roman"/>
          <w:sz w:val="24"/>
          <w:szCs w:val="24"/>
          <w:u w:val="single"/>
        </w:rPr>
        <w:t>Tenure</w:t>
      </w:r>
    </w:p>
    <w:p w14:paraId="0291414E" w14:textId="759B355B" w:rsidR="008901CE" w:rsidRPr="00576DDB" w:rsidRDefault="008901CE" w:rsidP="00576DDB">
      <w:pPr>
        <w:ind w:left="360"/>
        <w:rPr>
          <w:rFonts w:ascii="Times New Roman" w:hAnsi="Times New Roman" w:cs="Times New Roman"/>
          <w:sz w:val="24"/>
          <w:szCs w:val="24"/>
        </w:rPr>
      </w:pPr>
      <w:r w:rsidRPr="006576B2">
        <w:rPr>
          <w:rFonts w:ascii="Times New Roman" w:hAnsi="Times New Roman" w:cs="Times New Roman"/>
          <w:sz w:val="24"/>
          <w:szCs w:val="24"/>
        </w:rPr>
        <w:t xml:space="preserve">Tenure is awarded when an applicant has demonstrated excellent performance and the promise of continued excellence in </w:t>
      </w:r>
      <w:r>
        <w:rPr>
          <w:rFonts w:ascii="Times New Roman" w:hAnsi="Times New Roman" w:cs="Times New Roman"/>
          <w:sz w:val="24"/>
          <w:szCs w:val="24"/>
        </w:rPr>
        <w:t xml:space="preserve">teaching, </w:t>
      </w:r>
      <w:r w:rsidRPr="006576B2">
        <w:rPr>
          <w:rFonts w:ascii="Times New Roman" w:hAnsi="Times New Roman" w:cs="Times New Roman"/>
          <w:sz w:val="24"/>
          <w:szCs w:val="24"/>
        </w:rPr>
        <w:t>research and scholarship,</w:t>
      </w:r>
      <w:r>
        <w:rPr>
          <w:rFonts w:ascii="Times New Roman" w:hAnsi="Times New Roman" w:cs="Times New Roman"/>
          <w:sz w:val="24"/>
          <w:szCs w:val="24"/>
        </w:rPr>
        <w:t xml:space="preserve"> </w:t>
      </w:r>
      <w:r w:rsidRPr="006576B2">
        <w:rPr>
          <w:rFonts w:ascii="Times New Roman" w:hAnsi="Times New Roman" w:cs="Times New Roman"/>
          <w:sz w:val="24"/>
          <w:szCs w:val="24"/>
        </w:rPr>
        <w:t>and service.</w:t>
      </w:r>
      <w:r w:rsidR="00576DDB">
        <w:rPr>
          <w:rFonts w:ascii="Times New Roman" w:hAnsi="Times New Roman" w:cs="Times New Roman"/>
          <w:sz w:val="24"/>
          <w:szCs w:val="24"/>
        </w:rPr>
        <w:t xml:space="preserve"> </w:t>
      </w:r>
      <w:r w:rsidR="00576DDB" w:rsidRPr="00576DDB">
        <w:rPr>
          <w:rFonts w:ascii="Times New Roman" w:hAnsi="Times New Roman" w:cs="Times New Roman"/>
          <w:sz w:val="24"/>
          <w:szCs w:val="24"/>
        </w:rPr>
        <w:t>Other than in exceptional circumstances, it is anticipated that candidates will apply for tenure in the 5th year of their appointment.</w:t>
      </w:r>
    </w:p>
    <w:p w14:paraId="1982EE28" w14:textId="77777777" w:rsidR="008901CE" w:rsidRPr="006576B2" w:rsidRDefault="008901CE" w:rsidP="008901CE">
      <w:pPr>
        <w:ind w:firstLine="360"/>
        <w:rPr>
          <w:rFonts w:ascii="Times New Roman" w:hAnsi="Times New Roman" w:cs="Times New Roman"/>
          <w:sz w:val="24"/>
          <w:szCs w:val="24"/>
          <w:u w:val="single"/>
        </w:rPr>
      </w:pPr>
      <w:r w:rsidRPr="006576B2">
        <w:rPr>
          <w:rFonts w:ascii="Times New Roman" w:hAnsi="Times New Roman" w:cs="Times New Roman"/>
          <w:sz w:val="24"/>
          <w:szCs w:val="24"/>
          <w:u w:val="single"/>
        </w:rPr>
        <w:t>Guidelines for tenure applicants</w:t>
      </w:r>
    </w:p>
    <w:p w14:paraId="4EF73D70" w14:textId="02020F70" w:rsidR="008901CE" w:rsidRPr="0094259E" w:rsidRDefault="008901CE" w:rsidP="0094259E">
      <w:pPr>
        <w:pStyle w:val="ListParagraph"/>
        <w:numPr>
          <w:ilvl w:val="0"/>
          <w:numId w:val="5"/>
        </w:numPr>
        <w:autoSpaceDE w:val="0"/>
        <w:autoSpaceDN w:val="0"/>
        <w:adjustRightInd w:val="0"/>
        <w:spacing w:after="0" w:line="240" w:lineRule="auto"/>
        <w:ind w:left="720"/>
        <w:rPr>
          <w:rFonts w:ascii="Times New Roman" w:hAnsi="Times New Roman" w:cs="Times New Roman"/>
          <w:sz w:val="24"/>
          <w:szCs w:val="24"/>
        </w:rPr>
      </w:pPr>
      <w:r w:rsidRPr="0094259E">
        <w:rPr>
          <w:rFonts w:ascii="Times New Roman" w:hAnsi="Times New Roman" w:cs="Times New Roman"/>
          <w:sz w:val="24"/>
          <w:szCs w:val="24"/>
        </w:rPr>
        <w:t xml:space="preserve">Excellence in teaching is demonstrated </w:t>
      </w:r>
      <w:r w:rsidR="0094259E" w:rsidRPr="0094259E">
        <w:rPr>
          <w:rFonts w:ascii="Times New Roman" w:hAnsi="Times New Roman"/>
          <w:sz w:val="24"/>
          <w:szCs w:val="24"/>
        </w:rPr>
        <w:t>by, among other things, student and peer evaluations of classroom performance</w:t>
      </w:r>
      <w:r w:rsidR="00D61206">
        <w:rPr>
          <w:rFonts w:ascii="Times New Roman" w:hAnsi="Times New Roman"/>
          <w:sz w:val="24"/>
          <w:szCs w:val="24"/>
        </w:rPr>
        <w:t>;</w:t>
      </w:r>
      <w:r w:rsidR="0094259E" w:rsidRPr="0094259E">
        <w:rPr>
          <w:rFonts w:ascii="Times New Roman" w:hAnsi="Times New Roman"/>
          <w:sz w:val="24"/>
          <w:szCs w:val="24"/>
        </w:rPr>
        <w:t xml:space="preserve"> syllabi</w:t>
      </w:r>
      <w:r w:rsidR="00D61206">
        <w:rPr>
          <w:rFonts w:ascii="Times New Roman" w:hAnsi="Times New Roman"/>
          <w:sz w:val="24"/>
          <w:szCs w:val="24"/>
        </w:rPr>
        <w:t>;</w:t>
      </w:r>
      <w:r w:rsidR="0094259E" w:rsidRPr="0094259E">
        <w:rPr>
          <w:rFonts w:ascii="Times New Roman" w:hAnsi="Times New Roman"/>
          <w:sz w:val="24"/>
          <w:szCs w:val="24"/>
        </w:rPr>
        <w:t xml:space="preserve"> teaching materials</w:t>
      </w:r>
      <w:r w:rsidR="00D61206">
        <w:rPr>
          <w:rFonts w:ascii="Times New Roman" w:hAnsi="Times New Roman"/>
          <w:sz w:val="24"/>
          <w:szCs w:val="24"/>
        </w:rPr>
        <w:t>;</w:t>
      </w:r>
      <w:r w:rsidR="0094259E" w:rsidRPr="0094259E">
        <w:rPr>
          <w:rFonts w:ascii="Times New Roman" w:hAnsi="Times New Roman"/>
          <w:sz w:val="24"/>
          <w:szCs w:val="24"/>
        </w:rPr>
        <w:t xml:space="preserve"> materials by which the students are evaluate</w:t>
      </w:r>
      <w:r w:rsidR="0094259E">
        <w:rPr>
          <w:rFonts w:ascii="Times New Roman" w:hAnsi="Times New Roman"/>
          <w:sz w:val="24"/>
          <w:szCs w:val="24"/>
        </w:rPr>
        <w:t>d</w:t>
      </w:r>
      <w:r w:rsidR="00D61206">
        <w:rPr>
          <w:rFonts w:ascii="Times New Roman" w:hAnsi="Times New Roman"/>
          <w:sz w:val="24"/>
          <w:szCs w:val="24"/>
        </w:rPr>
        <w:t>;</w:t>
      </w:r>
      <w:r w:rsidR="0094259E" w:rsidRPr="0094259E">
        <w:rPr>
          <w:rFonts w:ascii="Times New Roman" w:hAnsi="Times New Roman"/>
          <w:sz w:val="24"/>
          <w:szCs w:val="24"/>
        </w:rPr>
        <w:t xml:space="preserve"> and </w:t>
      </w:r>
      <w:r w:rsidR="008870E1">
        <w:rPr>
          <w:rFonts w:ascii="Times New Roman" w:hAnsi="Times New Roman"/>
          <w:sz w:val="24"/>
          <w:szCs w:val="24"/>
        </w:rPr>
        <w:t>developing</w:t>
      </w:r>
      <w:r w:rsidR="0094259E" w:rsidRPr="0094259E">
        <w:rPr>
          <w:rFonts w:ascii="Times New Roman" w:hAnsi="Times New Roman"/>
          <w:sz w:val="24"/>
          <w:szCs w:val="24"/>
        </w:rPr>
        <w:t xml:space="preserve"> new courses and innovative pedagogical methods. </w:t>
      </w:r>
    </w:p>
    <w:p w14:paraId="7DFCD869" w14:textId="77777777" w:rsidR="008901CE" w:rsidRDefault="008901CE" w:rsidP="008901CE">
      <w:pPr>
        <w:pStyle w:val="ListParagraph"/>
        <w:numPr>
          <w:ilvl w:val="0"/>
          <w:numId w:val="2"/>
        </w:numPr>
        <w:rPr>
          <w:rFonts w:ascii="Times New Roman" w:hAnsi="Times New Roman" w:cs="Times New Roman"/>
          <w:sz w:val="24"/>
          <w:szCs w:val="24"/>
        </w:rPr>
      </w:pPr>
      <w:r w:rsidRPr="006576B2">
        <w:rPr>
          <w:rFonts w:ascii="Times New Roman" w:hAnsi="Times New Roman" w:cs="Times New Roman"/>
          <w:sz w:val="24"/>
          <w:szCs w:val="24"/>
        </w:rPr>
        <w:t>Excellence in research and scholarship is demonstrated through a record of regular and well-crafted contributions to the academic literature.</w:t>
      </w:r>
    </w:p>
    <w:p w14:paraId="68073578" w14:textId="77777777" w:rsidR="008901CE" w:rsidRPr="00452208" w:rsidRDefault="00452208" w:rsidP="00452208">
      <w:pPr>
        <w:pStyle w:val="ListParagraph"/>
        <w:numPr>
          <w:ilvl w:val="0"/>
          <w:numId w:val="2"/>
        </w:numPr>
        <w:ind w:left="1440" w:right="360"/>
        <w:rPr>
          <w:sz w:val="24"/>
          <w:szCs w:val="24"/>
        </w:rPr>
      </w:pPr>
      <w:r w:rsidRPr="00452208">
        <w:rPr>
          <w:rFonts w:ascii="Times New Roman" w:hAnsi="Times New Roman"/>
          <w:sz w:val="24"/>
          <w:szCs w:val="24"/>
        </w:rPr>
        <w:t xml:space="preserve">Ordinarily a candidate is expected to have a substantial body of quality scholarship, including works in press and all of the candidate’s academic writings, except for student-written law journal notes.  At least </w:t>
      </w:r>
      <w:r>
        <w:rPr>
          <w:rFonts w:ascii="Times New Roman" w:hAnsi="Times New Roman"/>
          <w:sz w:val="24"/>
          <w:szCs w:val="24"/>
        </w:rPr>
        <w:t>three</w:t>
      </w:r>
      <w:r w:rsidRPr="00452208">
        <w:rPr>
          <w:rFonts w:ascii="Times New Roman" w:hAnsi="Times New Roman"/>
          <w:sz w:val="24"/>
          <w:szCs w:val="24"/>
        </w:rPr>
        <w:t xml:space="preserve"> substantial works must be written after appointment to a tenure-track position.</w:t>
      </w:r>
      <w:r>
        <w:rPr>
          <w:rFonts w:ascii="Times New Roman" w:hAnsi="Times New Roman"/>
          <w:sz w:val="24"/>
          <w:szCs w:val="24"/>
        </w:rPr>
        <w:t xml:space="preserve"> </w:t>
      </w:r>
      <w:r w:rsidR="008901CE" w:rsidRPr="00452208">
        <w:rPr>
          <w:rFonts w:ascii="Times New Roman" w:hAnsi="Times New Roman" w:cs="Times New Roman"/>
          <w:sz w:val="24"/>
          <w:szCs w:val="24"/>
        </w:rPr>
        <w:t xml:space="preserve">Scholarship includes treatises, books (which may carry heavier weight than shorter works), chapters in books, and articles in law journals or the journals of other academic disciplines.  Credit towards the </w:t>
      </w:r>
      <w:r w:rsidR="00BD5532" w:rsidRPr="00452208">
        <w:rPr>
          <w:rFonts w:ascii="Times New Roman" w:hAnsi="Times New Roman" w:cs="Times New Roman"/>
          <w:sz w:val="24"/>
          <w:szCs w:val="24"/>
        </w:rPr>
        <w:t>three</w:t>
      </w:r>
      <w:r w:rsidR="008901CE" w:rsidRPr="00452208">
        <w:rPr>
          <w:rFonts w:ascii="Times New Roman" w:hAnsi="Times New Roman" w:cs="Times New Roman"/>
          <w:sz w:val="24"/>
          <w:szCs w:val="24"/>
        </w:rPr>
        <w:t xml:space="preserve"> works also includes co-authored pieces, but the amount of credit for each </w:t>
      </w:r>
      <w:r w:rsidR="00E05A68" w:rsidRPr="00452208">
        <w:rPr>
          <w:rFonts w:ascii="Times New Roman" w:hAnsi="Times New Roman" w:cs="Times New Roman"/>
          <w:sz w:val="24"/>
          <w:szCs w:val="24"/>
        </w:rPr>
        <w:t xml:space="preserve">co-authored piece </w:t>
      </w:r>
      <w:r w:rsidR="008901CE" w:rsidRPr="00452208">
        <w:rPr>
          <w:rFonts w:ascii="Times New Roman" w:hAnsi="Times New Roman" w:cs="Times New Roman"/>
          <w:sz w:val="24"/>
          <w:szCs w:val="24"/>
        </w:rPr>
        <w:t xml:space="preserve">will be considered on a case-by-case basis.  </w:t>
      </w:r>
    </w:p>
    <w:p w14:paraId="779B2A36" w14:textId="77777777" w:rsidR="008901CE" w:rsidRDefault="008901CE" w:rsidP="008901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Because few law journals are </w:t>
      </w:r>
      <w:r w:rsidR="001A347F" w:rsidRPr="00520939">
        <w:rPr>
          <w:rFonts w:ascii="Times New Roman" w:hAnsi="Times New Roman" w:cs="Times New Roman"/>
          <w:sz w:val="24"/>
          <w:szCs w:val="24"/>
        </w:rPr>
        <w:t>peer reviewed</w:t>
      </w:r>
      <w:r w:rsidRPr="00520939">
        <w:rPr>
          <w:rFonts w:ascii="Times New Roman" w:hAnsi="Times New Roman" w:cs="Times New Roman"/>
          <w:sz w:val="24"/>
          <w:szCs w:val="24"/>
        </w:rPr>
        <w:t xml:space="preserve">, publication in </w:t>
      </w:r>
      <w:r w:rsidR="001A347F" w:rsidRPr="00520939">
        <w:rPr>
          <w:rFonts w:ascii="Times New Roman" w:hAnsi="Times New Roman" w:cs="Times New Roman"/>
          <w:sz w:val="24"/>
          <w:szCs w:val="24"/>
        </w:rPr>
        <w:t>peer reviewed</w:t>
      </w:r>
      <w:r w:rsidRPr="00520939">
        <w:rPr>
          <w:rFonts w:ascii="Times New Roman" w:hAnsi="Times New Roman" w:cs="Times New Roman"/>
          <w:sz w:val="24"/>
          <w:szCs w:val="24"/>
        </w:rPr>
        <w:t xml:space="preserve"> journals is not expected.  Because legal scholarship is rarely sponsored by grants, generation of grants is encouraged but not expected.  </w:t>
      </w:r>
      <w:r w:rsidR="001A347F" w:rsidRPr="00520939">
        <w:rPr>
          <w:rFonts w:ascii="Times New Roman" w:hAnsi="Times New Roman" w:cs="Times New Roman"/>
          <w:sz w:val="24"/>
          <w:szCs w:val="24"/>
        </w:rPr>
        <w:t>Because there are few awards for legal scholarship, the lack of a scholarly award for a particular work of scholarship is no reflection on the work’s quality.</w:t>
      </w:r>
    </w:p>
    <w:p w14:paraId="16AF4FDB" w14:textId="77777777" w:rsidR="008901CE" w:rsidRPr="006576B2" w:rsidRDefault="008901CE" w:rsidP="008901CE">
      <w:pPr>
        <w:pStyle w:val="ListParagraph"/>
        <w:numPr>
          <w:ilvl w:val="1"/>
          <w:numId w:val="2"/>
        </w:numPr>
        <w:rPr>
          <w:rFonts w:ascii="Times New Roman" w:hAnsi="Times New Roman" w:cs="Times New Roman"/>
          <w:sz w:val="24"/>
          <w:szCs w:val="24"/>
        </w:rPr>
      </w:pPr>
      <w:r w:rsidRPr="007005B4">
        <w:rPr>
          <w:rFonts w:ascii="Times New Roman" w:hAnsi="Times New Roman" w:cs="Times New Roman"/>
          <w:sz w:val="24"/>
          <w:szCs w:val="24"/>
        </w:rPr>
        <w:t>In evaluating scholarship, the College places more weight on quality</w:t>
      </w:r>
      <w:r>
        <w:rPr>
          <w:rFonts w:ascii="Times New Roman" w:hAnsi="Times New Roman" w:cs="Times New Roman"/>
          <w:sz w:val="24"/>
          <w:szCs w:val="24"/>
        </w:rPr>
        <w:t xml:space="preserve"> demonstrated by originality and depth of analysis than any other factor.  Quality may be demonstrated by many kinds of evidence, including but not limited to, commentary from experts in relevant fields, invitations to attend or speak at conferences, citations to the candidate’s work by other experts, honors and awards</w:t>
      </w:r>
      <w:r w:rsidRPr="006A2EF9">
        <w:rPr>
          <w:rFonts w:ascii="Times New Roman" w:hAnsi="Times New Roman" w:cs="Times New Roman"/>
          <w:sz w:val="24"/>
          <w:szCs w:val="24"/>
        </w:rPr>
        <w:t xml:space="preserve"> </w:t>
      </w:r>
      <w:r>
        <w:rPr>
          <w:rFonts w:ascii="Times New Roman" w:hAnsi="Times New Roman" w:cs="Times New Roman"/>
          <w:sz w:val="24"/>
          <w:szCs w:val="24"/>
        </w:rPr>
        <w:t xml:space="preserve">and assessments by others in the field.  </w:t>
      </w:r>
    </w:p>
    <w:p w14:paraId="5E97504F" w14:textId="256FFD0E" w:rsidR="008901CE" w:rsidRDefault="008901CE" w:rsidP="008901CE">
      <w:pPr>
        <w:pStyle w:val="ListParagraph"/>
        <w:numPr>
          <w:ilvl w:val="0"/>
          <w:numId w:val="2"/>
        </w:numPr>
        <w:rPr>
          <w:rFonts w:ascii="Times New Roman" w:hAnsi="Times New Roman" w:cs="Times New Roman"/>
          <w:sz w:val="24"/>
          <w:szCs w:val="24"/>
        </w:rPr>
      </w:pPr>
      <w:r w:rsidRPr="007005B4">
        <w:rPr>
          <w:rFonts w:ascii="Times New Roman" w:hAnsi="Times New Roman" w:cs="Times New Roman"/>
          <w:sz w:val="24"/>
          <w:szCs w:val="24"/>
        </w:rPr>
        <w:t xml:space="preserve">Excellence in service is demonstrated through the value of the applicant’s service to the law school, the university, the community, </w:t>
      </w:r>
      <w:r w:rsidR="00772CC9">
        <w:rPr>
          <w:rFonts w:ascii="Times New Roman" w:hAnsi="Times New Roman" w:cs="Times New Roman"/>
          <w:sz w:val="24"/>
          <w:szCs w:val="24"/>
        </w:rPr>
        <w:t>and/</w:t>
      </w:r>
      <w:r w:rsidRPr="007005B4">
        <w:rPr>
          <w:rFonts w:ascii="Times New Roman" w:hAnsi="Times New Roman" w:cs="Times New Roman"/>
          <w:sz w:val="24"/>
          <w:szCs w:val="24"/>
        </w:rPr>
        <w:t xml:space="preserve">or the legal profession. </w:t>
      </w:r>
      <w:r w:rsidR="0094259E" w:rsidRPr="00182EBC">
        <w:rPr>
          <w:rFonts w:ascii="Times New Roman" w:hAnsi="Times New Roman"/>
          <w:sz w:val="24"/>
          <w:szCs w:val="24"/>
        </w:rPr>
        <w:t xml:space="preserve">Service activities include, among other things, participating in the governance of the College; serving on </w:t>
      </w:r>
      <w:r w:rsidR="0094259E" w:rsidRPr="00182EBC">
        <w:rPr>
          <w:rFonts w:ascii="Times New Roman" w:hAnsi="Times New Roman"/>
          <w:sz w:val="24"/>
          <w:szCs w:val="24"/>
        </w:rPr>
        <w:lastRenderedPageBreak/>
        <w:t xml:space="preserve">College or University committees; </w:t>
      </w:r>
      <w:r w:rsidR="006C0F3D">
        <w:rPr>
          <w:rFonts w:ascii="Times New Roman" w:hAnsi="Times New Roman"/>
          <w:sz w:val="24"/>
          <w:szCs w:val="24"/>
        </w:rPr>
        <w:t>advising</w:t>
      </w:r>
      <w:r w:rsidR="006C0F3D" w:rsidRPr="00095AF9">
        <w:rPr>
          <w:rFonts w:ascii="Times New Roman" w:hAnsi="Times New Roman"/>
          <w:sz w:val="24"/>
          <w:szCs w:val="24"/>
        </w:rPr>
        <w:t xml:space="preserve"> student org</w:t>
      </w:r>
      <w:r w:rsidR="006C0F3D">
        <w:rPr>
          <w:rFonts w:ascii="Times New Roman" w:hAnsi="Times New Roman"/>
          <w:sz w:val="24"/>
          <w:szCs w:val="24"/>
        </w:rPr>
        <w:t>anizations;</w:t>
      </w:r>
      <w:r w:rsidR="006C0F3D" w:rsidRPr="00095AF9">
        <w:rPr>
          <w:rFonts w:ascii="Times New Roman" w:hAnsi="Times New Roman"/>
          <w:sz w:val="24"/>
          <w:szCs w:val="24"/>
        </w:rPr>
        <w:t xml:space="preserve"> supervising</w:t>
      </w:r>
      <w:r w:rsidR="006C0F3D">
        <w:rPr>
          <w:rFonts w:ascii="Times New Roman" w:hAnsi="Times New Roman"/>
          <w:sz w:val="24"/>
          <w:szCs w:val="24"/>
        </w:rPr>
        <w:t xml:space="preserve"> students’</w:t>
      </w:r>
      <w:r w:rsidR="006C0F3D" w:rsidRPr="00095AF9">
        <w:rPr>
          <w:rFonts w:ascii="Times New Roman" w:hAnsi="Times New Roman"/>
          <w:sz w:val="24"/>
          <w:szCs w:val="24"/>
        </w:rPr>
        <w:t xml:space="preserve"> independent studies and journal notes</w:t>
      </w:r>
      <w:r w:rsidR="006C0F3D">
        <w:rPr>
          <w:rFonts w:ascii="Times New Roman" w:hAnsi="Times New Roman"/>
          <w:sz w:val="24"/>
          <w:szCs w:val="24"/>
        </w:rPr>
        <w:t xml:space="preserve">; </w:t>
      </w:r>
      <w:r w:rsidR="006C0F3D" w:rsidRPr="00095AF9">
        <w:rPr>
          <w:rFonts w:ascii="Times New Roman" w:hAnsi="Times New Roman"/>
          <w:sz w:val="24"/>
          <w:szCs w:val="24"/>
        </w:rPr>
        <w:t>participating in faculty recruitment</w:t>
      </w:r>
      <w:r w:rsidR="006C0F3D">
        <w:rPr>
          <w:rFonts w:ascii="Times New Roman" w:hAnsi="Times New Roman"/>
          <w:sz w:val="24"/>
          <w:szCs w:val="24"/>
        </w:rPr>
        <w:t>;</w:t>
      </w:r>
      <w:r w:rsidR="006C0F3D" w:rsidRPr="00182EBC">
        <w:rPr>
          <w:rFonts w:ascii="Times New Roman" w:hAnsi="Times New Roman"/>
          <w:sz w:val="24"/>
          <w:szCs w:val="24"/>
        </w:rPr>
        <w:t xml:space="preserve"> </w:t>
      </w:r>
      <w:r w:rsidR="0094259E" w:rsidRPr="00182EBC">
        <w:rPr>
          <w:rFonts w:ascii="Times New Roman" w:hAnsi="Times New Roman"/>
          <w:sz w:val="24"/>
          <w:szCs w:val="24"/>
        </w:rPr>
        <w:t xml:space="preserve">serving in professional organizations related to law; </w:t>
      </w:r>
      <w:r w:rsidR="0094259E">
        <w:rPr>
          <w:rFonts w:ascii="Times New Roman" w:hAnsi="Times New Roman"/>
          <w:sz w:val="24"/>
          <w:szCs w:val="24"/>
        </w:rPr>
        <w:t>serving in editorial roles;</w:t>
      </w:r>
      <w:r w:rsidR="00C145F8">
        <w:rPr>
          <w:rFonts w:ascii="Times New Roman" w:hAnsi="Times New Roman"/>
          <w:sz w:val="24"/>
          <w:szCs w:val="24"/>
        </w:rPr>
        <w:t xml:space="preserve"> </w:t>
      </w:r>
      <w:r w:rsidR="00D61206">
        <w:rPr>
          <w:rFonts w:ascii="Times New Roman" w:hAnsi="Times New Roman"/>
          <w:sz w:val="24"/>
          <w:szCs w:val="24"/>
        </w:rPr>
        <w:t xml:space="preserve">serving as a professional mentor; </w:t>
      </w:r>
      <w:r w:rsidR="0094259E" w:rsidRPr="00182EBC">
        <w:rPr>
          <w:rFonts w:ascii="Times New Roman" w:hAnsi="Times New Roman"/>
          <w:sz w:val="24"/>
          <w:szCs w:val="24"/>
        </w:rPr>
        <w:t xml:space="preserve">providing </w:t>
      </w:r>
      <w:r w:rsidR="00004132">
        <w:rPr>
          <w:rFonts w:ascii="Times New Roman" w:hAnsi="Times New Roman"/>
          <w:sz w:val="24"/>
          <w:szCs w:val="24"/>
        </w:rPr>
        <w:t xml:space="preserve">pro bono </w:t>
      </w:r>
      <w:r w:rsidR="0094259E" w:rsidRPr="00182EBC">
        <w:rPr>
          <w:rFonts w:ascii="Times New Roman" w:hAnsi="Times New Roman"/>
          <w:sz w:val="24"/>
          <w:szCs w:val="24"/>
        </w:rPr>
        <w:t xml:space="preserve">legal services; and conducting legal seminars and conferences. </w:t>
      </w:r>
    </w:p>
    <w:p w14:paraId="6DF0D90A" w14:textId="77777777" w:rsidR="008901CE" w:rsidRDefault="008901CE" w:rsidP="00890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than in exceptional circumstances, it is anticipated that candidates will apply for tenure in the fifth year of their appointment.</w:t>
      </w:r>
    </w:p>
    <w:p w14:paraId="1AE8DD8D" w14:textId="77777777" w:rsidR="008901CE" w:rsidRPr="000643C4" w:rsidRDefault="008901CE" w:rsidP="00CD11FE">
      <w:pPr>
        <w:ind w:firstLine="360"/>
        <w:rPr>
          <w:rFonts w:ascii="Times New Roman" w:hAnsi="Times New Roman" w:cs="Times New Roman"/>
          <w:sz w:val="24"/>
          <w:szCs w:val="24"/>
          <w:u w:val="single"/>
        </w:rPr>
      </w:pPr>
      <w:r w:rsidRPr="000643C4">
        <w:rPr>
          <w:rFonts w:ascii="Times New Roman" w:hAnsi="Times New Roman" w:cs="Times New Roman"/>
          <w:sz w:val="24"/>
          <w:szCs w:val="24"/>
          <w:u w:val="single"/>
        </w:rPr>
        <w:t>Promotion</w:t>
      </w:r>
    </w:p>
    <w:p w14:paraId="72882078" w14:textId="77777777" w:rsidR="008901CE" w:rsidRDefault="008901CE" w:rsidP="008901CE">
      <w:pPr>
        <w:ind w:left="360"/>
        <w:rPr>
          <w:rFonts w:ascii="Times New Roman" w:hAnsi="Times New Roman" w:cs="Times New Roman"/>
          <w:sz w:val="24"/>
          <w:szCs w:val="24"/>
        </w:rPr>
      </w:pPr>
      <w:r w:rsidRPr="006576B2">
        <w:rPr>
          <w:rFonts w:ascii="Times New Roman" w:hAnsi="Times New Roman" w:cs="Times New Roman"/>
          <w:sz w:val="24"/>
          <w:szCs w:val="24"/>
        </w:rPr>
        <w:t>Promotion to Professor</w:t>
      </w:r>
      <w:r>
        <w:rPr>
          <w:rFonts w:ascii="Times New Roman" w:hAnsi="Times New Roman" w:cs="Times New Roman"/>
          <w:sz w:val="24"/>
          <w:szCs w:val="24"/>
        </w:rPr>
        <w:t xml:space="preserve"> of Law</w:t>
      </w:r>
      <w:r w:rsidRPr="006576B2">
        <w:rPr>
          <w:rFonts w:ascii="Times New Roman" w:hAnsi="Times New Roman" w:cs="Times New Roman"/>
          <w:sz w:val="24"/>
          <w:szCs w:val="24"/>
        </w:rPr>
        <w:t xml:space="preserve"> is based on an overall record of excellence in the performance of one’s professional responsibilities</w:t>
      </w:r>
      <w:r>
        <w:rPr>
          <w:rFonts w:ascii="Times New Roman" w:hAnsi="Times New Roman" w:cs="Times New Roman"/>
          <w:sz w:val="24"/>
          <w:szCs w:val="24"/>
        </w:rPr>
        <w:t xml:space="preserve"> of teaching, research and scholarship, and service.  Normally, an overall record of excellence requires national or international </w:t>
      </w:r>
      <w:r w:rsidR="00A90B17">
        <w:rPr>
          <w:rFonts w:ascii="Times New Roman" w:hAnsi="Times New Roman" w:cs="Times New Roman"/>
          <w:sz w:val="24"/>
          <w:szCs w:val="24"/>
        </w:rPr>
        <w:t>reputati</w:t>
      </w:r>
      <w:r>
        <w:rPr>
          <w:rFonts w:ascii="Times New Roman" w:hAnsi="Times New Roman" w:cs="Times New Roman"/>
          <w:sz w:val="24"/>
          <w:szCs w:val="24"/>
        </w:rPr>
        <w:t xml:space="preserve">on for scholarly achievement. </w:t>
      </w:r>
    </w:p>
    <w:p w14:paraId="6B5288E9" w14:textId="7414180B" w:rsidR="008901CE" w:rsidRDefault="008901CE" w:rsidP="008901CE">
      <w:pPr>
        <w:ind w:left="360"/>
        <w:rPr>
          <w:rFonts w:ascii="Times New Roman" w:hAnsi="Times New Roman" w:cs="Times New Roman"/>
          <w:sz w:val="24"/>
          <w:szCs w:val="24"/>
        </w:rPr>
      </w:pPr>
      <w:r w:rsidRPr="006576B2">
        <w:rPr>
          <w:rFonts w:ascii="Times New Roman" w:hAnsi="Times New Roman" w:cs="Times New Roman"/>
          <w:sz w:val="24"/>
          <w:szCs w:val="24"/>
          <w:u w:val="single"/>
        </w:rPr>
        <w:t>Guidelines for promotion applicants</w:t>
      </w:r>
      <w:r>
        <w:rPr>
          <w:rFonts w:ascii="Times New Roman" w:hAnsi="Times New Roman" w:cs="Times New Roman"/>
          <w:sz w:val="24"/>
          <w:szCs w:val="24"/>
        </w:rPr>
        <w:t xml:space="preserve"> </w:t>
      </w:r>
    </w:p>
    <w:p w14:paraId="62B4F204" w14:textId="31A32855" w:rsidR="00692712" w:rsidRPr="002C755A" w:rsidRDefault="00692712" w:rsidP="002C755A">
      <w:pPr>
        <w:ind w:left="360"/>
        <w:rPr>
          <w:rFonts w:ascii="Times New Roman" w:hAnsi="Times New Roman" w:cs="Times New Roman"/>
          <w:sz w:val="24"/>
          <w:szCs w:val="24"/>
        </w:rPr>
      </w:pPr>
      <w:r w:rsidRPr="002C755A">
        <w:rPr>
          <w:rFonts w:ascii="Times New Roman" w:hAnsi="Times New Roman" w:cs="Times New Roman"/>
          <w:sz w:val="24"/>
          <w:szCs w:val="24"/>
        </w:rPr>
        <w:t xml:space="preserve">Candidates may apply for promotion at the same time as applying for tenure or later. </w:t>
      </w:r>
    </w:p>
    <w:p w14:paraId="37CE8743" w14:textId="472A8955" w:rsidR="00692712" w:rsidRDefault="00692712" w:rsidP="008901CE">
      <w:pPr>
        <w:ind w:left="360"/>
        <w:rPr>
          <w:rFonts w:ascii="Times New Roman" w:hAnsi="Times New Roman" w:cs="Times New Roman"/>
          <w:sz w:val="24"/>
          <w:szCs w:val="24"/>
        </w:rPr>
      </w:pPr>
      <w:r w:rsidRPr="002C755A">
        <w:rPr>
          <w:rFonts w:ascii="Times New Roman" w:hAnsi="Times New Roman" w:cs="Times New Roman"/>
          <w:sz w:val="24"/>
          <w:szCs w:val="24"/>
          <w:u w:val="single"/>
        </w:rPr>
        <w:t>Teaching</w:t>
      </w:r>
    </w:p>
    <w:p w14:paraId="3C5CA95F" w14:textId="072266CC" w:rsidR="00692712" w:rsidRDefault="00692712" w:rsidP="002C755A">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Ordinarily, promotion to full professor requires:</w:t>
      </w:r>
    </w:p>
    <w:p w14:paraId="4DCE4499" w14:textId="62ADC710" w:rsidR="00692712" w:rsidRDefault="00692712" w:rsidP="002C755A">
      <w:pPr>
        <w:pStyle w:val="ListParagraph"/>
        <w:numPr>
          <w:ilvl w:val="1"/>
          <w:numId w:val="2"/>
        </w:numPr>
        <w:rPr>
          <w:rFonts w:ascii="Times New Roman" w:hAnsi="Times New Roman" w:cs="Times New Roman"/>
          <w:sz w:val="24"/>
          <w:szCs w:val="24"/>
          <w:u w:val="single"/>
        </w:rPr>
      </w:pPr>
      <w:r>
        <w:rPr>
          <w:rFonts w:ascii="Times New Roman" w:hAnsi="Times New Roman" w:cs="Times New Roman"/>
          <w:sz w:val="24"/>
          <w:szCs w:val="24"/>
          <w:u w:val="single"/>
        </w:rPr>
        <w:t>Evidence of sustained excellence in teaching, as demonstrated by peer and student evaluations and other evidence referenced above in the tenure context.</w:t>
      </w:r>
    </w:p>
    <w:p w14:paraId="41EB4792" w14:textId="45E34F0E" w:rsidR="00692712" w:rsidRPr="002C755A" w:rsidRDefault="00692712" w:rsidP="008901CE">
      <w:pPr>
        <w:ind w:left="360"/>
        <w:rPr>
          <w:rFonts w:ascii="Times New Roman" w:hAnsi="Times New Roman" w:cs="Times New Roman"/>
          <w:sz w:val="24"/>
          <w:szCs w:val="24"/>
          <w:u w:val="single"/>
        </w:rPr>
      </w:pPr>
      <w:r w:rsidRPr="002C755A">
        <w:rPr>
          <w:rFonts w:ascii="Times New Roman" w:hAnsi="Times New Roman" w:cs="Times New Roman"/>
          <w:sz w:val="24"/>
          <w:szCs w:val="24"/>
          <w:u w:val="single"/>
        </w:rPr>
        <w:t>Research and Scholarship</w:t>
      </w:r>
    </w:p>
    <w:p w14:paraId="585B5372" w14:textId="4D98A58E" w:rsidR="008901CE" w:rsidRDefault="008901CE" w:rsidP="00890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Ordinarily promotion to full professor requires: </w:t>
      </w:r>
    </w:p>
    <w:p w14:paraId="429D1F8B" w14:textId="62193CBE" w:rsidR="008901CE" w:rsidRPr="006F3579" w:rsidRDefault="008901CE" w:rsidP="008901CE">
      <w:pPr>
        <w:pStyle w:val="ListParagraph"/>
        <w:numPr>
          <w:ilvl w:val="1"/>
          <w:numId w:val="2"/>
        </w:numPr>
        <w:rPr>
          <w:rFonts w:ascii="Times New Roman" w:hAnsi="Times New Roman" w:cs="Times New Roman"/>
          <w:sz w:val="24"/>
          <w:szCs w:val="24"/>
        </w:rPr>
      </w:pPr>
      <w:r w:rsidRPr="00306F9A">
        <w:rPr>
          <w:rFonts w:ascii="Times New Roman" w:hAnsi="Times New Roman" w:cs="Times New Roman"/>
          <w:sz w:val="24"/>
          <w:szCs w:val="24"/>
        </w:rPr>
        <w:t xml:space="preserve">At least </w:t>
      </w:r>
      <w:r w:rsidR="00452208">
        <w:rPr>
          <w:rFonts w:ascii="Times New Roman" w:hAnsi="Times New Roman" w:cs="Times New Roman"/>
          <w:sz w:val="24"/>
          <w:szCs w:val="24"/>
        </w:rPr>
        <w:t>six</w:t>
      </w:r>
      <w:r w:rsidR="00520939">
        <w:rPr>
          <w:rFonts w:ascii="Times New Roman" w:hAnsi="Times New Roman" w:cs="Times New Roman"/>
          <w:sz w:val="24"/>
          <w:szCs w:val="24"/>
        </w:rPr>
        <w:t xml:space="preserve"> </w:t>
      </w:r>
      <w:r w:rsidRPr="00306F9A">
        <w:rPr>
          <w:rFonts w:ascii="Times New Roman" w:hAnsi="Times New Roman" w:cs="Times New Roman"/>
          <w:sz w:val="24"/>
          <w:szCs w:val="24"/>
        </w:rPr>
        <w:t xml:space="preserve">substantial works of quality scholarship, including works in press and all of the candidate’s academic writings, except for student-written law journal notes.  Scholarship counted towards the </w:t>
      </w:r>
      <w:r w:rsidR="00452208">
        <w:rPr>
          <w:rFonts w:ascii="Times New Roman" w:hAnsi="Times New Roman" w:cs="Times New Roman"/>
          <w:sz w:val="24"/>
          <w:szCs w:val="24"/>
        </w:rPr>
        <w:t>six</w:t>
      </w:r>
      <w:r w:rsidRPr="00306F9A">
        <w:rPr>
          <w:rFonts w:ascii="Times New Roman" w:hAnsi="Times New Roman" w:cs="Times New Roman"/>
          <w:sz w:val="24"/>
          <w:szCs w:val="24"/>
        </w:rPr>
        <w:t xml:space="preserve"> works includes treatises, books</w:t>
      </w:r>
      <w:r>
        <w:rPr>
          <w:rFonts w:ascii="Times New Roman" w:hAnsi="Times New Roman" w:cs="Times New Roman"/>
          <w:sz w:val="24"/>
          <w:szCs w:val="24"/>
        </w:rPr>
        <w:t xml:space="preserve"> (which may carry heavier weight than shorter works)</w:t>
      </w:r>
      <w:r w:rsidRPr="00306F9A">
        <w:rPr>
          <w:rFonts w:ascii="Times New Roman" w:hAnsi="Times New Roman" w:cs="Times New Roman"/>
          <w:sz w:val="24"/>
          <w:szCs w:val="24"/>
        </w:rPr>
        <w:t>, chapters in books, and articles in law journals and or the journals of other academic disciplines.</w:t>
      </w:r>
      <w:r w:rsidR="00A90B17">
        <w:rPr>
          <w:rFonts w:ascii="Times New Roman" w:hAnsi="Times New Roman" w:cs="Times New Roman"/>
          <w:sz w:val="24"/>
          <w:szCs w:val="24"/>
        </w:rPr>
        <w:t xml:space="preserve"> </w:t>
      </w:r>
      <w:r>
        <w:rPr>
          <w:rFonts w:ascii="Times New Roman" w:hAnsi="Times New Roman" w:cs="Times New Roman"/>
          <w:sz w:val="24"/>
          <w:szCs w:val="24"/>
        </w:rPr>
        <w:t xml:space="preserve">Credit towards the </w:t>
      </w:r>
      <w:r w:rsidR="00452208">
        <w:rPr>
          <w:rFonts w:ascii="Times New Roman" w:hAnsi="Times New Roman" w:cs="Times New Roman"/>
          <w:sz w:val="24"/>
          <w:szCs w:val="24"/>
        </w:rPr>
        <w:t>six</w:t>
      </w:r>
      <w:r>
        <w:rPr>
          <w:rFonts w:ascii="Times New Roman" w:hAnsi="Times New Roman" w:cs="Times New Roman"/>
          <w:sz w:val="24"/>
          <w:szCs w:val="24"/>
        </w:rPr>
        <w:t xml:space="preserve"> works also includes co-authored pieces, but the amount of credit for each </w:t>
      </w:r>
      <w:r w:rsidR="00E05A68">
        <w:rPr>
          <w:rFonts w:ascii="Times New Roman" w:hAnsi="Times New Roman" w:cs="Times New Roman"/>
          <w:sz w:val="24"/>
          <w:szCs w:val="24"/>
        </w:rPr>
        <w:t xml:space="preserve">co-authored piece </w:t>
      </w:r>
      <w:r>
        <w:rPr>
          <w:rFonts w:ascii="Times New Roman" w:hAnsi="Times New Roman" w:cs="Times New Roman"/>
          <w:sz w:val="24"/>
          <w:szCs w:val="24"/>
        </w:rPr>
        <w:t>will be considered on a</w:t>
      </w:r>
      <w:r w:rsidR="00A90B17">
        <w:rPr>
          <w:rFonts w:ascii="Times New Roman" w:hAnsi="Times New Roman" w:cs="Times New Roman"/>
          <w:sz w:val="24"/>
          <w:szCs w:val="24"/>
        </w:rPr>
        <w:t xml:space="preserve"> case-by-case basis;</w:t>
      </w:r>
      <w:r>
        <w:rPr>
          <w:rFonts w:ascii="Times New Roman" w:hAnsi="Times New Roman" w:cs="Times New Roman"/>
          <w:sz w:val="24"/>
          <w:szCs w:val="24"/>
        </w:rPr>
        <w:t xml:space="preserve"> </w:t>
      </w:r>
      <w:r w:rsidR="00A814EC" w:rsidRPr="006F3579">
        <w:rPr>
          <w:rFonts w:ascii="Times New Roman" w:hAnsi="Times New Roman" w:cs="Times New Roman"/>
          <w:sz w:val="24"/>
          <w:szCs w:val="24"/>
        </w:rPr>
        <w:t>pre-tenure work may be included in the six substantial works, but significant post-tenure work must also be included</w:t>
      </w:r>
      <w:r w:rsidR="00021D27" w:rsidRPr="006F3579">
        <w:rPr>
          <w:rFonts w:ascii="Times New Roman" w:hAnsi="Times New Roman" w:cs="Times New Roman"/>
          <w:sz w:val="24"/>
          <w:szCs w:val="24"/>
        </w:rPr>
        <w:t xml:space="preserve"> if the candidate seeks promotion to Professor after receiving tenure</w:t>
      </w:r>
      <w:r w:rsidR="00A814EC" w:rsidRPr="006F3579">
        <w:rPr>
          <w:rFonts w:ascii="Times New Roman" w:hAnsi="Times New Roman" w:cs="Times New Roman"/>
          <w:sz w:val="24"/>
          <w:szCs w:val="24"/>
        </w:rPr>
        <w:t>.</w:t>
      </w:r>
    </w:p>
    <w:p w14:paraId="20CFFD40" w14:textId="77777777" w:rsidR="008901CE" w:rsidRPr="00306F9A" w:rsidRDefault="008901CE" w:rsidP="008901CE">
      <w:pPr>
        <w:pStyle w:val="ListParagraph"/>
        <w:numPr>
          <w:ilvl w:val="1"/>
          <w:numId w:val="2"/>
        </w:numPr>
        <w:rPr>
          <w:rFonts w:ascii="Times New Roman" w:hAnsi="Times New Roman" w:cs="Times New Roman"/>
          <w:sz w:val="24"/>
          <w:szCs w:val="24"/>
        </w:rPr>
      </w:pPr>
      <w:r w:rsidRPr="00306F9A">
        <w:rPr>
          <w:rFonts w:ascii="Times New Roman" w:hAnsi="Times New Roman" w:cs="Times New Roman"/>
          <w:sz w:val="24"/>
          <w:szCs w:val="24"/>
        </w:rPr>
        <w:t>S</w:t>
      </w:r>
      <w:r w:rsidR="00A90B17">
        <w:rPr>
          <w:rFonts w:ascii="Times New Roman" w:hAnsi="Times New Roman" w:cs="Times New Roman"/>
          <w:sz w:val="24"/>
          <w:szCs w:val="24"/>
        </w:rPr>
        <w:t>ubstantial speaking engagements;</w:t>
      </w:r>
      <w:r w:rsidR="00E44873">
        <w:rPr>
          <w:rFonts w:ascii="Times New Roman" w:hAnsi="Times New Roman" w:cs="Times New Roman"/>
          <w:sz w:val="24"/>
          <w:szCs w:val="24"/>
        </w:rPr>
        <w:t xml:space="preserve"> </w:t>
      </w:r>
    </w:p>
    <w:p w14:paraId="66334D59" w14:textId="77777777" w:rsidR="008901CE" w:rsidRDefault="008901CE" w:rsidP="008901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Professional accolades or award</w:t>
      </w:r>
      <w:r w:rsidR="00A90B17">
        <w:rPr>
          <w:rFonts w:ascii="Times New Roman" w:hAnsi="Times New Roman" w:cs="Times New Roman"/>
          <w:sz w:val="24"/>
          <w:szCs w:val="24"/>
        </w:rPr>
        <w:t>;</w:t>
      </w:r>
      <w:r>
        <w:rPr>
          <w:rFonts w:ascii="Times New Roman" w:hAnsi="Times New Roman" w:cs="Times New Roman"/>
          <w:sz w:val="24"/>
          <w:szCs w:val="24"/>
        </w:rPr>
        <w:t xml:space="preserve"> or</w:t>
      </w:r>
    </w:p>
    <w:p w14:paraId="592B4C03" w14:textId="77777777" w:rsidR="008901CE" w:rsidRPr="00520939" w:rsidRDefault="008901CE" w:rsidP="008901C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Election or appointment to positions of authority in major professional associations or in state</w:t>
      </w:r>
      <w:r w:rsidR="00CD11FE">
        <w:rPr>
          <w:rFonts w:ascii="Times New Roman" w:hAnsi="Times New Roman" w:cs="Times New Roman"/>
          <w:sz w:val="24"/>
          <w:szCs w:val="24"/>
        </w:rPr>
        <w:t xml:space="preserve">, </w:t>
      </w:r>
      <w:r>
        <w:rPr>
          <w:rFonts w:ascii="Times New Roman" w:hAnsi="Times New Roman" w:cs="Times New Roman"/>
          <w:sz w:val="24"/>
          <w:szCs w:val="24"/>
        </w:rPr>
        <w:t>federal</w:t>
      </w:r>
      <w:r w:rsidR="00CD11FE">
        <w:rPr>
          <w:rFonts w:ascii="Times New Roman" w:hAnsi="Times New Roman" w:cs="Times New Roman"/>
          <w:sz w:val="24"/>
          <w:szCs w:val="24"/>
        </w:rPr>
        <w:t>,</w:t>
      </w:r>
      <w:r w:rsidR="00CD11FE" w:rsidRPr="00520939">
        <w:rPr>
          <w:rFonts w:ascii="Times New Roman" w:hAnsi="Times New Roman" w:cs="Times New Roman"/>
          <w:sz w:val="24"/>
          <w:szCs w:val="24"/>
        </w:rPr>
        <w:t xml:space="preserve"> or tribal</w:t>
      </w:r>
      <w:r w:rsidRPr="00520939">
        <w:rPr>
          <w:rFonts w:ascii="Times New Roman" w:hAnsi="Times New Roman" w:cs="Times New Roman"/>
          <w:sz w:val="24"/>
          <w:szCs w:val="24"/>
        </w:rPr>
        <w:t xml:space="preserve"> government.</w:t>
      </w:r>
    </w:p>
    <w:p w14:paraId="6D0FF284" w14:textId="77777777" w:rsidR="008901CE" w:rsidRPr="00520939" w:rsidRDefault="008901CE" w:rsidP="008901CE">
      <w:pPr>
        <w:pStyle w:val="ListParagraph"/>
        <w:numPr>
          <w:ilvl w:val="0"/>
          <w:numId w:val="2"/>
        </w:numPr>
        <w:rPr>
          <w:rFonts w:ascii="Times New Roman" w:hAnsi="Times New Roman" w:cs="Times New Roman"/>
          <w:sz w:val="24"/>
          <w:szCs w:val="24"/>
        </w:rPr>
      </w:pPr>
      <w:r w:rsidRPr="00520939">
        <w:rPr>
          <w:rFonts w:ascii="Times New Roman" w:hAnsi="Times New Roman" w:cs="Times New Roman"/>
          <w:sz w:val="24"/>
          <w:szCs w:val="24"/>
        </w:rPr>
        <w:lastRenderedPageBreak/>
        <w:t xml:space="preserve">Because few law journals are </w:t>
      </w:r>
      <w:r w:rsidR="001A347F" w:rsidRPr="00520939">
        <w:rPr>
          <w:rFonts w:ascii="Times New Roman" w:hAnsi="Times New Roman" w:cs="Times New Roman"/>
          <w:sz w:val="24"/>
          <w:szCs w:val="24"/>
        </w:rPr>
        <w:t>peer reviewed</w:t>
      </w:r>
      <w:r w:rsidRPr="00520939">
        <w:rPr>
          <w:rFonts w:ascii="Times New Roman" w:hAnsi="Times New Roman" w:cs="Times New Roman"/>
          <w:sz w:val="24"/>
          <w:szCs w:val="24"/>
        </w:rPr>
        <w:t xml:space="preserve">, publication in </w:t>
      </w:r>
      <w:r w:rsidR="001A347F" w:rsidRPr="00520939">
        <w:rPr>
          <w:rFonts w:ascii="Times New Roman" w:hAnsi="Times New Roman" w:cs="Times New Roman"/>
          <w:sz w:val="24"/>
          <w:szCs w:val="24"/>
        </w:rPr>
        <w:t>peer reviewed</w:t>
      </w:r>
      <w:r w:rsidRPr="00520939">
        <w:rPr>
          <w:rFonts w:ascii="Times New Roman" w:hAnsi="Times New Roman" w:cs="Times New Roman"/>
          <w:sz w:val="24"/>
          <w:szCs w:val="24"/>
        </w:rPr>
        <w:t xml:space="preserve"> journals is not expected.  Because legal scholarship is rarely sponsored by grants, generation of grants is encouraged but not expected.  </w:t>
      </w:r>
      <w:r w:rsidR="001A347F" w:rsidRPr="00520939">
        <w:rPr>
          <w:rFonts w:ascii="Times New Roman" w:hAnsi="Times New Roman" w:cs="Times New Roman"/>
          <w:sz w:val="24"/>
          <w:szCs w:val="24"/>
        </w:rPr>
        <w:t>Because there are few awards for legal scholarship, the lack of a scholarly award for a particular work of scholarship is no reflection on the work’s quality.</w:t>
      </w:r>
    </w:p>
    <w:p w14:paraId="17D7B395" w14:textId="77777777" w:rsidR="008901CE" w:rsidRPr="00FF42DF" w:rsidRDefault="008901CE" w:rsidP="008901CE">
      <w:pPr>
        <w:pStyle w:val="ListParagraph"/>
        <w:numPr>
          <w:ilvl w:val="0"/>
          <w:numId w:val="2"/>
        </w:numPr>
        <w:rPr>
          <w:rFonts w:ascii="Times New Roman" w:hAnsi="Times New Roman" w:cs="Times New Roman"/>
          <w:sz w:val="24"/>
          <w:szCs w:val="24"/>
        </w:rPr>
      </w:pPr>
      <w:r w:rsidRPr="00FF42DF">
        <w:rPr>
          <w:rFonts w:ascii="Times New Roman" w:hAnsi="Times New Roman" w:cs="Times New Roman"/>
          <w:sz w:val="24"/>
          <w:szCs w:val="24"/>
        </w:rPr>
        <w:t xml:space="preserve">In evaluating scholarship, the College places more weight on quality demonstrated by originality and depth of analysis than any other factor.  Quality may be demonstrated by many kinds of evidence, including but not limited to, commentary from experts in relevant fields, invitations to attend or speak at conferences, citations to the candidate’s work by other experts, honors and awards and assessments by others in the field.  </w:t>
      </w:r>
    </w:p>
    <w:p w14:paraId="51B0E361" w14:textId="0A0FDCB4" w:rsidR="00692712" w:rsidRDefault="00692712" w:rsidP="00CD11FE">
      <w:pPr>
        <w:rPr>
          <w:rFonts w:ascii="Times New Roman" w:hAnsi="Times New Roman" w:cs="Times New Roman"/>
          <w:sz w:val="24"/>
          <w:szCs w:val="24"/>
        </w:rPr>
      </w:pPr>
    </w:p>
    <w:p w14:paraId="1D929E6A" w14:textId="55D35D36" w:rsidR="00692712" w:rsidRDefault="00692712" w:rsidP="002C755A">
      <w:pPr>
        <w:ind w:left="360"/>
        <w:rPr>
          <w:rFonts w:ascii="Times New Roman" w:hAnsi="Times New Roman" w:cs="Times New Roman"/>
          <w:sz w:val="24"/>
          <w:szCs w:val="24"/>
        </w:rPr>
      </w:pPr>
      <w:r w:rsidRPr="002C755A">
        <w:rPr>
          <w:rFonts w:ascii="Times New Roman" w:hAnsi="Times New Roman" w:cs="Times New Roman"/>
          <w:sz w:val="24"/>
          <w:szCs w:val="24"/>
          <w:u w:val="single"/>
        </w:rPr>
        <w:t>Service</w:t>
      </w:r>
    </w:p>
    <w:p w14:paraId="28ABC2A0" w14:textId="2EB61E82" w:rsidR="00E5549A" w:rsidRDefault="00E5549A" w:rsidP="002C755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Ordinarily promotion to full professor requires:</w:t>
      </w:r>
    </w:p>
    <w:p w14:paraId="73247B4B" w14:textId="6D4D006E" w:rsidR="00D95BD4" w:rsidRPr="002C755A" w:rsidRDefault="00E5549A" w:rsidP="002C7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Service on College of Law </w:t>
      </w:r>
      <w:r w:rsidR="00D95BD4">
        <w:rPr>
          <w:rFonts w:ascii="Times New Roman" w:hAnsi="Times New Roman" w:cs="Times New Roman"/>
          <w:sz w:val="24"/>
          <w:szCs w:val="24"/>
        </w:rPr>
        <w:t xml:space="preserve">or university </w:t>
      </w:r>
      <w:r>
        <w:rPr>
          <w:rFonts w:ascii="Times New Roman" w:hAnsi="Times New Roman" w:cs="Times New Roman"/>
          <w:sz w:val="24"/>
          <w:szCs w:val="24"/>
        </w:rPr>
        <w:t>committees</w:t>
      </w:r>
      <w:r w:rsidR="00D95BD4">
        <w:rPr>
          <w:rFonts w:ascii="Times New Roman" w:hAnsi="Times New Roman" w:cs="Times New Roman"/>
          <w:sz w:val="24"/>
          <w:szCs w:val="24"/>
        </w:rPr>
        <w:t>, such as appointments</w:t>
      </w:r>
      <w:r w:rsidR="00BE59B1">
        <w:rPr>
          <w:rFonts w:ascii="Times New Roman" w:hAnsi="Times New Roman" w:cs="Times New Roman"/>
          <w:sz w:val="24"/>
          <w:szCs w:val="24"/>
        </w:rPr>
        <w:t xml:space="preserve"> or </w:t>
      </w:r>
      <w:r w:rsidR="00D95BD4">
        <w:rPr>
          <w:rFonts w:ascii="Times New Roman" w:hAnsi="Times New Roman" w:cs="Times New Roman"/>
          <w:sz w:val="24"/>
          <w:szCs w:val="24"/>
        </w:rPr>
        <w:t xml:space="preserve">the faculty senate, advising student organizations, </w:t>
      </w:r>
      <w:r w:rsidR="00BE59B1">
        <w:rPr>
          <w:rFonts w:ascii="Times New Roman" w:hAnsi="Times New Roman" w:cs="Times New Roman"/>
          <w:sz w:val="24"/>
          <w:szCs w:val="24"/>
        </w:rPr>
        <w:t>or otherwise taking on administrative responsibilities at the College of Law or University</w:t>
      </w:r>
    </w:p>
    <w:p w14:paraId="00EC7D88" w14:textId="76C797E8" w:rsidR="00D95BD4" w:rsidRDefault="00D95BD4" w:rsidP="002C7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Involvement in the intellectual life of the law school, whether by affiliation with centers or programs, attendance at internal and external talks, </w:t>
      </w:r>
      <w:r w:rsidR="00BE59B1">
        <w:rPr>
          <w:rFonts w:ascii="Times New Roman" w:hAnsi="Times New Roman" w:cs="Times New Roman"/>
          <w:sz w:val="24"/>
          <w:szCs w:val="24"/>
        </w:rPr>
        <w:t xml:space="preserve">organizing conferences, </w:t>
      </w:r>
      <w:r>
        <w:rPr>
          <w:rFonts w:ascii="Times New Roman" w:hAnsi="Times New Roman" w:cs="Times New Roman"/>
          <w:sz w:val="24"/>
          <w:szCs w:val="24"/>
        </w:rPr>
        <w:t>oversight of student notes and comments, or other similar activities</w:t>
      </w:r>
    </w:p>
    <w:p w14:paraId="1BBD34A0" w14:textId="09970020" w:rsidR="00E5549A" w:rsidRDefault="00E5549A" w:rsidP="002C755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Service in a leadership capacity in national and international professional organizations</w:t>
      </w:r>
    </w:p>
    <w:p w14:paraId="2FCE91F2" w14:textId="5BE6E576" w:rsidR="008901CE" w:rsidRDefault="008901CE" w:rsidP="00CD11FE">
      <w:pPr>
        <w:rPr>
          <w:rFonts w:ascii="Times New Roman" w:hAnsi="Times New Roman" w:cs="Times New Roman"/>
          <w:sz w:val="24"/>
          <w:szCs w:val="24"/>
        </w:rPr>
      </w:pPr>
      <w:r>
        <w:rPr>
          <w:rFonts w:ascii="Times New Roman" w:hAnsi="Times New Roman" w:cs="Times New Roman"/>
          <w:sz w:val="24"/>
          <w:szCs w:val="24"/>
        </w:rPr>
        <w:br w:type="page"/>
      </w:r>
    </w:p>
    <w:p w14:paraId="22C1BE04" w14:textId="4AAA7CCC" w:rsidR="008901CE" w:rsidRPr="008B0B53" w:rsidRDefault="008901CE" w:rsidP="008901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  Standards for Continuing Status and Promotion</w:t>
      </w:r>
      <w:r w:rsidR="00705C2B">
        <w:rPr>
          <w:rFonts w:ascii="Times New Roman" w:hAnsi="Times New Roman" w:cs="Times New Roman"/>
          <w:sz w:val="24"/>
          <w:szCs w:val="24"/>
        </w:rPr>
        <w:t xml:space="preserve"> for Academic Professionals (Legal Writing and Clinical Faculty)</w:t>
      </w:r>
    </w:p>
    <w:p w14:paraId="7DA375C4" w14:textId="77777777" w:rsidR="00CD11FE" w:rsidRPr="00520939" w:rsidRDefault="00CD11FE" w:rsidP="00CD11FE">
      <w:pPr>
        <w:ind w:left="360" w:firstLine="360"/>
        <w:rPr>
          <w:rFonts w:ascii="Times New Roman" w:hAnsi="Times New Roman" w:cs="Times New Roman"/>
          <w:sz w:val="24"/>
          <w:szCs w:val="24"/>
          <w:u w:val="single"/>
        </w:rPr>
      </w:pPr>
      <w:r w:rsidRPr="00520939">
        <w:rPr>
          <w:rFonts w:ascii="Times New Roman" w:hAnsi="Times New Roman" w:cs="Times New Roman"/>
          <w:sz w:val="24"/>
          <w:szCs w:val="24"/>
          <w:u w:val="single"/>
        </w:rPr>
        <w:t>Introduction</w:t>
      </w:r>
    </w:p>
    <w:p w14:paraId="02E9EA00" w14:textId="77777777" w:rsidR="00CD11FE" w:rsidRPr="00520939" w:rsidRDefault="001A347F" w:rsidP="00CD11FE">
      <w:pPr>
        <w:spacing w:line="240" w:lineRule="auto"/>
        <w:ind w:left="720"/>
        <w:rPr>
          <w:rFonts w:ascii="Times New Roman" w:hAnsi="Times New Roman" w:cs="Times New Roman"/>
          <w:sz w:val="24"/>
          <w:szCs w:val="24"/>
          <w:u w:val="single"/>
        </w:rPr>
      </w:pPr>
      <w:r w:rsidRPr="00520939">
        <w:rPr>
          <w:rFonts w:ascii="Times New Roman" w:hAnsi="Times New Roman" w:cs="Times New Roman"/>
          <w:sz w:val="24"/>
          <w:szCs w:val="24"/>
        </w:rPr>
        <w:t>Academic Professionals on the continuing status track are evaluated based on their position effectiveness, professional contributions, and service.  Legal scholarship is not a requirement of an application for continuing status or promotion, but scholarship may be considered in the candidate’s favor.</w:t>
      </w:r>
    </w:p>
    <w:p w14:paraId="62C2B6F9" w14:textId="77777777" w:rsidR="008901CE" w:rsidRPr="008B0B53" w:rsidRDefault="008901CE" w:rsidP="008901CE">
      <w:pPr>
        <w:spacing w:line="240" w:lineRule="auto"/>
        <w:ind w:firstLine="720"/>
        <w:rPr>
          <w:rFonts w:ascii="Times New Roman" w:hAnsi="Times New Roman" w:cs="Times New Roman"/>
          <w:sz w:val="24"/>
          <w:szCs w:val="24"/>
          <w:u w:val="single"/>
        </w:rPr>
      </w:pPr>
      <w:r w:rsidRPr="008B0B53">
        <w:rPr>
          <w:rFonts w:ascii="Times New Roman" w:hAnsi="Times New Roman" w:cs="Times New Roman"/>
          <w:sz w:val="24"/>
          <w:szCs w:val="24"/>
          <w:u w:val="single"/>
        </w:rPr>
        <w:t xml:space="preserve">Continuing Status </w:t>
      </w:r>
    </w:p>
    <w:p w14:paraId="62F25868" w14:textId="64B7F434" w:rsidR="008901CE" w:rsidRPr="00134627" w:rsidRDefault="008901CE" w:rsidP="008901CE">
      <w:pPr>
        <w:spacing w:line="240" w:lineRule="auto"/>
        <w:ind w:left="720"/>
        <w:rPr>
          <w:rFonts w:ascii="Times New Roman" w:hAnsi="Times New Roman" w:cs="Times New Roman"/>
          <w:sz w:val="24"/>
          <w:szCs w:val="24"/>
        </w:rPr>
      </w:pPr>
      <w:r w:rsidRPr="00134627">
        <w:rPr>
          <w:rFonts w:ascii="Times New Roman" w:hAnsi="Times New Roman" w:cs="Times New Roman"/>
          <w:sz w:val="24"/>
          <w:szCs w:val="24"/>
        </w:rPr>
        <w:t xml:space="preserve">Continuing Status is awarded when an applicant has demonstrated excellent performance and shows the promise of continued excellence in the three following areas: position effectiveness, professional contributions, and service.  </w:t>
      </w:r>
      <w:r w:rsidR="003049E3" w:rsidRPr="003049E3">
        <w:rPr>
          <w:rFonts w:ascii="Times New Roman" w:hAnsi="Times New Roman" w:cs="Times New Roman"/>
          <w:sz w:val="24"/>
          <w:szCs w:val="24"/>
        </w:rPr>
        <w:t>Other than in exceptional circumstances, it is anticipated that candidates will apply for continuing status in the 4th year of their appointment.</w:t>
      </w:r>
    </w:p>
    <w:p w14:paraId="0636787C" w14:textId="77777777" w:rsidR="008901CE" w:rsidRPr="008B0B53" w:rsidRDefault="008901CE" w:rsidP="008901CE">
      <w:pPr>
        <w:ind w:firstLine="720"/>
        <w:rPr>
          <w:rFonts w:ascii="Times New Roman" w:hAnsi="Times New Roman" w:cs="Times New Roman"/>
          <w:sz w:val="24"/>
          <w:szCs w:val="24"/>
          <w:u w:val="single"/>
        </w:rPr>
      </w:pPr>
      <w:r w:rsidRPr="008B0B53">
        <w:rPr>
          <w:rFonts w:ascii="Times New Roman" w:hAnsi="Times New Roman" w:cs="Times New Roman"/>
          <w:sz w:val="24"/>
          <w:szCs w:val="24"/>
          <w:u w:val="single"/>
        </w:rPr>
        <w:t xml:space="preserve">Guidelines for </w:t>
      </w:r>
      <w:r w:rsidR="00F80DD2">
        <w:rPr>
          <w:rFonts w:ascii="Times New Roman" w:hAnsi="Times New Roman" w:cs="Times New Roman"/>
          <w:sz w:val="24"/>
          <w:szCs w:val="24"/>
          <w:u w:val="single"/>
        </w:rPr>
        <w:t>C</w:t>
      </w:r>
      <w:r w:rsidRPr="008B0B53">
        <w:rPr>
          <w:rFonts w:ascii="Times New Roman" w:hAnsi="Times New Roman" w:cs="Times New Roman"/>
          <w:sz w:val="24"/>
          <w:szCs w:val="24"/>
          <w:u w:val="single"/>
        </w:rPr>
        <w:t xml:space="preserve">ontinuing </w:t>
      </w:r>
      <w:r w:rsidR="00F80DD2">
        <w:rPr>
          <w:rFonts w:ascii="Times New Roman" w:hAnsi="Times New Roman" w:cs="Times New Roman"/>
          <w:sz w:val="24"/>
          <w:szCs w:val="24"/>
          <w:u w:val="single"/>
        </w:rPr>
        <w:t>S</w:t>
      </w:r>
      <w:r w:rsidRPr="008B0B53">
        <w:rPr>
          <w:rFonts w:ascii="Times New Roman" w:hAnsi="Times New Roman" w:cs="Times New Roman"/>
          <w:sz w:val="24"/>
          <w:szCs w:val="24"/>
          <w:u w:val="single"/>
        </w:rPr>
        <w:t xml:space="preserve">tatus </w:t>
      </w:r>
      <w:r w:rsidR="00F80DD2">
        <w:rPr>
          <w:rFonts w:ascii="Times New Roman" w:hAnsi="Times New Roman" w:cs="Times New Roman"/>
          <w:sz w:val="24"/>
          <w:szCs w:val="24"/>
          <w:u w:val="single"/>
        </w:rPr>
        <w:t>A</w:t>
      </w:r>
      <w:r w:rsidRPr="008B0B53">
        <w:rPr>
          <w:rFonts w:ascii="Times New Roman" w:hAnsi="Times New Roman" w:cs="Times New Roman"/>
          <w:sz w:val="24"/>
          <w:szCs w:val="24"/>
          <w:u w:val="single"/>
        </w:rPr>
        <w:t>pplicants</w:t>
      </w:r>
      <w:r w:rsidR="000C13D6">
        <w:rPr>
          <w:rFonts w:ascii="Times New Roman" w:hAnsi="Times New Roman" w:cs="Times New Roman"/>
          <w:sz w:val="24"/>
          <w:szCs w:val="24"/>
          <w:u w:val="single"/>
        </w:rPr>
        <w:t xml:space="preserve"> </w:t>
      </w:r>
    </w:p>
    <w:p w14:paraId="72B8D355" w14:textId="77777777" w:rsidR="008901CE" w:rsidRPr="008B0B53" w:rsidRDefault="008901CE" w:rsidP="008901CE">
      <w:pPr>
        <w:pStyle w:val="ListParagraph"/>
        <w:numPr>
          <w:ilvl w:val="0"/>
          <w:numId w:val="1"/>
        </w:numPr>
        <w:rPr>
          <w:rFonts w:ascii="Times New Roman" w:hAnsi="Times New Roman" w:cs="Times New Roman"/>
          <w:sz w:val="24"/>
          <w:szCs w:val="24"/>
        </w:rPr>
      </w:pPr>
      <w:r w:rsidRPr="008B0B53">
        <w:rPr>
          <w:rFonts w:ascii="Times New Roman" w:hAnsi="Times New Roman" w:cs="Times New Roman"/>
          <w:sz w:val="24"/>
          <w:szCs w:val="24"/>
        </w:rPr>
        <w:t xml:space="preserve">Excellence in </w:t>
      </w:r>
      <w:r w:rsidRPr="00134627">
        <w:rPr>
          <w:rFonts w:ascii="Times New Roman" w:hAnsi="Times New Roman" w:cs="Times New Roman"/>
          <w:sz w:val="24"/>
          <w:szCs w:val="24"/>
        </w:rPr>
        <w:t>position effectiveness is</w:t>
      </w:r>
      <w:r w:rsidRPr="008B0B53">
        <w:rPr>
          <w:rFonts w:ascii="Times New Roman" w:hAnsi="Times New Roman" w:cs="Times New Roman"/>
          <w:sz w:val="24"/>
          <w:szCs w:val="24"/>
        </w:rPr>
        <w:t xml:space="preserve"> demonstrated through:</w:t>
      </w:r>
    </w:p>
    <w:p w14:paraId="37905D1D" w14:textId="77777777" w:rsidR="008901CE" w:rsidRPr="008B0B53" w:rsidRDefault="008901CE" w:rsidP="008901CE">
      <w:pPr>
        <w:pStyle w:val="ListParagraph"/>
        <w:numPr>
          <w:ilvl w:val="1"/>
          <w:numId w:val="1"/>
        </w:numPr>
        <w:rPr>
          <w:rFonts w:ascii="Times New Roman" w:hAnsi="Times New Roman" w:cs="Times New Roman"/>
          <w:sz w:val="24"/>
          <w:szCs w:val="24"/>
        </w:rPr>
      </w:pPr>
      <w:r w:rsidRPr="008B0B53">
        <w:rPr>
          <w:rFonts w:ascii="Times New Roman" w:hAnsi="Times New Roman" w:cs="Times New Roman"/>
          <w:sz w:val="24"/>
          <w:szCs w:val="24"/>
        </w:rPr>
        <w:t>Teaching ability as evidenced by</w:t>
      </w:r>
      <w:r w:rsidR="006925E3">
        <w:rPr>
          <w:rFonts w:ascii="Times New Roman" w:hAnsi="Times New Roman" w:cs="Times New Roman"/>
          <w:sz w:val="24"/>
          <w:szCs w:val="24"/>
        </w:rPr>
        <w:t>, among other things,</w:t>
      </w:r>
      <w:r w:rsidR="00C145F8">
        <w:rPr>
          <w:rFonts w:ascii="Times New Roman" w:hAnsi="Times New Roman" w:cs="Times New Roman"/>
          <w:sz w:val="24"/>
          <w:szCs w:val="24"/>
        </w:rPr>
        <w:t xml:space="preserve"> </w:t>
      </w:r>
      <w:r w:rsidR="006925E3" w:rsidRPr="00377FB9">
        <w:rPr>
          <w:rFonts w:ascii="Times New Roman" w:hAnsi="Times New Roman"/>
          <w:sz w:val="24"/>
          <w:szCs w:val="24"/>
        </w:rPr>
        <w:t xml:space="preserve">student and peer evaluations of </w:t>
      </w:r>
      <w:r w:rsidR="006925E3">
        <w:rPr>
          <w:rFonts w:ascii="Times New Roman" w:hAnsi="Times New Roman"/>
          <w:sz w:val="24"/>
          <w:szCs w:val="24"/>
        </w:rPr>
        <w:t>teaching</w:t>
      </w:r>
      <w:r w:rsidR="00B91E68">
        <w:rPr>
          <w:rFonts w:ascii="Times New Roman" w:hAnsi="Times New Roman"/>
          <w:sz w:val="24"/>
          <w:szCs w:val="24"/>
        </w:rPr>
        <w:t>;</w:t>
      </w:r>
      <w:r w:rsidR="006925E3" w:rsidRPr="00377FB9">
        <w:rPr>
          <w:rFonts w:ascii="Times New Roman" w:hAnsi="Times New Roman"/>
          <w:sz w:val="24"/>
          <w:szCs w:val="24"/>
        </w:rPr>
        <w:t xml:space="preserve"> syllabi</w:t>
      </w:r>
      <w:r w:rsidR="00B91E68">
        <w:rPr>
          <w:rFonts w:ascii="Times New Roman" w:hAnsi="Times New Roman"/>
          <w:sz w:val="24"/>
          <w:szCs w:val="24"/>
        </w:rPr>
        <w:t>;</w:t>
      </w:r>
      <w:r w:rsidR="006925E3" w:rsidRPr="00377FB9">
        <w:rPr>
          <w:rFonts w:ascii="Times New Roman" w:hAnsi="Times New Roman"/>
          <w:sz w:val="24"/>
          <w:szCs w:val="24"/>
        </w:rPr>
        <w:t xml:space="preserve"> teaching materials</w:t>
      </w:r>
      <w:r w:rsidR="00B91E68">
        <w:rPr>
          <w:rFonts w:ascii="Times New Roman" w:hAnsi="Times New Roman"/>
          <w:sz w:val="24"/>
          <w:szCs w:val="24"/>
        </w:rPr>
        <w:t>;</w:t>
      </w:r>
      <w:r w:rsidR="006925E3" w:rsidRPr="00377FB9">
        <w:rPr>
          <w:rFonts w:ascii="Times New Roman" w:hAnsi="Times New Roman"/>
          <w:sz w:val="24"/>
          <w:szCs w:val="24"/>
        </w:rPr>
        <w:t xml:space="preserve"> materials by which the students are evaluate</w:t>
      </w:r>
      <w:r w:rsidR="006925E3">
        <w:rPr>
          <w:rFonts w:ascii="Times New Roman" w:hAnsi="Times New Roman"/>
          <w:sz w:val="24"/>
          <w:szCs w:val="24"/>
        </w:rPr>
        <w:t>d</w:t>
      </w:r>
      <w:r w:rsidR="00B91E68">
        <w:rPr>
          <w:rFonts w:ascii="Times New Roman" w:hAnsi="Times New Roman"/>
          <w:sz w:val="24"/>
          <w:szCs w:val="24"/>
        </w:rPr>
        <w:t>;</w:t>
      </w:r>
      <w:r w:rsidR="006925E3" w:rsidRPr="0094259E">
        <w:rPr>
          <w:rFonts w:ascii="Times New Roman" w:hAnsi="Times New Roman"/>
          <w:sz w:val="24"/>
          <w:szCs w:val="24"/>
        </w:rPr>
        <w:t xml:space="preserve"> and the development of innovative pedagogical methods</w:t>
      </w:r>
      <w:r>
        <w:rPr>
          <w:rFonts w:ascii="Times New Roman" w:hAnsi="Times New Roman" w:cs="Times New Roman"/>
          <w:sz w:val="24"/>
          <w:szCs w:val="24"/>
        </w:rPr>
        <w:t xml:space="preserve">, </w:t>
      </w:r>
      <w:r w:rsidRPr="008B0B53">
        <w:rPr>
          <w:rFonts w:ascii="Times New Roman" w:hAnsi="Times New Roman" w:cs="Times New Roman"/>
          <w:sz w:val="24"/>
          <w:szCs w:val="24"/>
        </w:rPr>
        <w:t xml:space="preserve">and </w:t>
      </w:r>
    </w:p>
    <w:p w14:paraId="3850F77B" w14:textId="77777777" w:rsidR="008901CE" w:rsidRDefault="008901CE" w:rsidP="008901CE">
      <w:pPr>
        <w:pStyle w:val="ListParagraph"/>
        <w:numPr>
          <w:ilvl w:val="1"/>
          <w:numId w:val="1"/>
        </w:numPr>
        <w:rPr>
          <w:rFonts w:ascii="Times New Roman" w:hAnsi="Times New Roman" w:cs="Times New Roman"/>
          <w:sz w:val="24"/>
          <w:szCs w:val="24"/>
        </w:rPr>
      </w:pPr>
      <w:r w:rsidRPr="008B0B53">
        <w:rPr>
          <w:rFonts w:ascii="Times New Roman" w:hAnsi="Times New Roman" w:cs="Times New Roman"/>
          <w:sz w:val="24"/>
          <w:szCs w:val="24"/>
        </w:rPr>
        <w:t>Advancing the overall goals of the particular program (Clinical or Legal Writing) to which the applicant belongs.</w:t>
      </w:r>
    </w:p>
    <w:p w14:paraId="1532EA46" w14:textId="77777777" w:rsidR="008901CE" w:rsidRPr="008B0B53" w:rsidRDefault="008901CE" w:rsidP="008901CE">
      <w:pPr>
        <w:pStyle w:val="ListParagraph"/>
        <w:numPr>
          <w:ilvl w:val="0"/>
          <w:numId w:val="1"/>
        </w:numPr>
        <w:rPr>
          <w:rFonts w:ascii="Times New Roman" w:hAnsi="Times New Roman" w:cs="Times New Roman"/>
          <w:sz w:val="24"/>
          <w:szCs w:val="24"/>
        </w:rPr>
      </w:pPr>
      <w:r w:rsidRPr="008B0B53">
        <w:rPr>
          <w:rFonts w:ascii="Times New Roman" w:hAnsi="Times New Roman" w:cs="Times New Roman"/>
          <w:sz w:val="24"/>
          <w:szCs w:val="24"/>
        </w:rPr>
        <w:t>Excellence in professional contri</w:t>
      </w:r>
      <w:r>
        <w:rPr>
          <w:rFonts w:ascii="Times New Roman" w:hAnsi="Times New Roman" w:cs="Times New Roman"/>
          <w:sz w:val="24"/>
          <w:szCs w:val="24"/>
        </w:rPr>
        <w:t>butions is demonstrated through</w:t>
      </w:r>
      <w:r w:rsidRPr="008B0B53">
        <w:rPr>
          <w:rFonts w:ascii="Times New Roman" w:hAnsi="Times New Roman" w:cs="Times New Roman"/>
          <w:sz w:val="24"/>
          <w:szCs w:val="24"/>
        </w:rPr>
        <w:t>:</w:t>
      </w:r>
    </w:p>
    <w:p w14:paraId="5D5248EF" w14:textId="77777777" w:rsidR="008901CE" w:rsidRPr="008B0B53" w:rsidRDefault="008901CE" w:rsidP="008901CE">
      <w:pPr>
        <w:pStyle w:val="ListParagraph"/>
        <w:numPr>
          <w:ilvl w:val="1"/>
          <w:numId w:val="1"/>
        </w:numPr>
        <w:rPr>
          <w:rFonts w:ascii="Times New Roman" w:hAnsi="Times New Roman" w:cs="Times New Roman"/>
          <w:sz w:val="24"/>
          <w:szCs w:val="24"/>
        </w:rPr>
      </w:pPr>
      <w:r w:rsidRPr="008B0B53">
        <w:rPr>
          <w:rFonts w:ascii="Times New Roman" w:hAnsi="Times New Roman" w:cs="Times New Roman"/>
          <w:sz w:val="24"/>
          <w:szCs w:val="24"/>
        </w:rPr>
        <w:t>Participating in national organizations,</w:t>
      </w:r>
    </w:p>
    <w:p w14:paraId="38C4D9EF" w14:textId="77777777" w:rsidR="008901CE" w:rsidRDefault="00BE4988" w:rsidP="008901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Making scholarly presentations</w:t>
      </w:r>
      <w:r w:rsidR="008901CE" w:rsidRPr="008B0B53">
        <w:rPr>
          <w:rFonts w:ascii="Times New Roman" w:hAnsi="Times New Roman" w:cs="Times New Roman"/>
          <w:sz w:val="24"/>
          <w:szCs w:val="24"/>
        </w:rPr>
        <w:t>,</w:t>
      </w:r>
    </w:p>
    <w:p w14:paraId="72E968E2" w14:textId="77777777" w:rsidR="008901CE" w:rsidRPr="008B0B53" w:rsidRDefault="00BE4988" w:rsidP="008901CE">
      <w:pPr>
        <w:pStyle w:val="ListParagraph"/>
        <w:numPr>
          <w:ilvl w:val="1"/>
          <w:numId w:val="1"/>
        </w:numPr>
        <w:rPr>
          <w:rFonts w:ascii="Times New Roman" w:hAnsi="Times New Roman" w:cs="Times New Roman"/>
          <w:sz w:val="24"/>
          <w:szCs w:val="24"/>
        </w:rPr>
      </w:pPr>
      <w:r w:rsidRPr="008B0B53">
        <w:rPr>
          <w:rFonts w:ascii="Times New Roman" w:hAnsi="Times New Roman" w:cs="Times New Roman"/>
          <w:sz w:val="24"/>
          <w:szCs w:val="24"/>
        </w:rPr>
        <w:t>Engaging in scholarship</w:t>
      </w:r>
      <w:r w:rsidR="008901CE">
        <w:rPr>
          <w:rFonts w:ascii="Times New Roman" w:hAnsi="Times New Roman" w:cs="Times New Roman"/>
          <w:sz w:val="24"/>
          <w:szCs w:val="24"/>
        </w:rPr>
        <w:t>,</w:t>
      </w:r>
      <w:r w:rsidR="008901CE" w:rsidRPr="008B0B53">
        <w:rPr>
          <w:rFonts w:ascii="Times New Roman" w:hAnsi="Times New Roman" w:cs="Times New Roman"/>
          <w:sz w:val="24"/>
          <w:szCs w:val="24"/>
        </w:rPr>
        <w:t xml:space="preserve"> or</w:t>
      </w:r>
    </w:p>
    <w:p w14:paraId="7F6995BE" w14:textId="77777777" w:rsidR="008901CE" w:rsidRPr="008B0B53" w:rsidRDefault="008901CE" w:rsidP="008901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Any other means of a</w:t>
      </w:r>
      <w:r w:rsidRPr="008B0B53">
        <w:rPr>
          <w:rFonts w:ascii="Times New Roman" w:hAnsi="Times New Roman" w:cs="Times New Roman"/>
          <w:sz w:val="24"/>
          <w:szCs w:val="24"/>
        </w:rPr>
        <w:t>dvancing the applicant’s field.</w:t>
      </w:r>
    </w:p>
    <w:p w14:paraId="10A28CBE" w14:textId="24AB0FB2" w:rsidR="008901CE" w:rsidRDefault="008901CE" w:rsidP="00C145F8">
      <w:pPr>
        <w:pStyle w:val="ListParagraph"/>
        <w:numPr>
          <w:ilvl w:val="0"/>
          <w:numId w:val="1"/>
        </w:numPr>
        <w:rPr>
          <w:rFonts w:ascii="Times New Roman" w:hAnsi="Times New Roman" w:cs="Times New Roman"/>
          <w:sz w:val="24"/>
          <w:szCs w:val="24"/>
        </w:rPr>
      </w:pPr>
      <w:r w:rsidRPr="008B0B53">
        <w:rPr>
          <w:rFonts w:ascii="Times New Roman" w:hAnsi="Times New Roman" w:cs="Times New Roman"/>
          <w:sz w:val="24"/>
          <w:szCs w:val="24"/>
        </w:rPr>
        <w:t xml:space="preserve">Excellence in service is demonstrated through the value of the applicant’s service to the law school, the university, the community, </w:t>
      </w:r>
      <w:r w:rsidR="00772CC9">
        <w:rPr>
          <w:rFonts w:ascii="Times New Roman" w:hAnsi="Times New Roman" w:cs="Times New Roman"/>
          <w:sz w:val="24"/>
          <w:szCs w:val="24"/>
        </w:rPr>
        <w:t>and/</w:t>
      </w:r>
      <w:r w:rsidRPr="008B0B53">
        <w:rPr>
          <w:rFonts w:ascii="Times New Roman" w:hAnsi="Times New Roman" w:cs="Times New Roman"/>
          <w:sz w:val="24"/>
          <w:szCs w:val="24"/>
        </w:rPr>
        <w:t>or the legal profession.</w:t>
      </w:r>
      <w:r w:rsidR="006925E3">
        <w:rPr>
          <w:rFonts w:ascii="Times New Roman" w:hAnsi="Times New Roman" w:cs="Times New Roman"/>
          <w:sz w:val="24"/>
          <w:szCs w:val="24"/>
        </w:rPr>
        <w:t xml:space="preserve">  </w:t>
      </w:r>
      <w:r w:rsidR="006925E3" w:rsidRPr="00182EBC">
        <w:rPr>
          <w:rFonts w:ascii="Times New Roman" w:hAnsi="Times New Roman"/>
          <w:sz w:val="24"/>
          <w:szCs w:val="24"/>
        </w:rPr>
        <w:t xml:space="preserve">Service activities include, among other things, participating in the governance of the College; serving on College or University committees; </w:t>
      </w:r>
      <w:r w:rsidR="00011D6A">
        <w:rPr>
          <w:rFonts w:ascii="Times New Roman" w:hAnsi="Times New Roman"/>
          <w:sz w:val="24"/>
          <w:szCs w:val="24"/>
        </w:rPr>
        <w:t>advising</w:t>
      </w:r>
      <w:r w:rsidR="00011D6A" w:rsidRPr="00095AF9">
        <w:rPr>
          <w:rFonts w:ascii="Times New Roman" w:hAnsi="Times New Roman"/>
          <w:sz w:val="24"/>
          <w:szCs w:val="24"/>
        </w:rPr>
        <w:t xml:space="preserve"> student org</w:t>
      </w:r>
      <w:r w:rsidR="00011D6A">
        <w:rPr>
          <w:rFonts w:ascii="Times New Roman" w:hAnsi="Times New Roman"/>
          <w:sz w:val="24"/>
          <w:szCs w:val="24"/>
        </w:rPr>
        <w:t>anizations;</w:t>
      </w:r>
      <w:r w:rsidR="00011D6A" w:rsidRPr="00095AF9">
        <w:rPr>
          <w:rFonts w:ascii="Times New Roman" w:hAnsi="Times New Roman"/>
          <w:sz w:val="24"/>
          <w:szCs w:val="24"/>
        </w:rPr>
        <w:t xml:space="preserve"> supervising</w:t>
      </w:r>
      <w:r w:rsidR="00011D6A">
        <w:rPr>
          <w:rFonts w:ascii="Times New Roman" w:hAnsi="Times New Roman"/>
          <w:sz w:val="24"/>
          <w:szCs w:val="24"/>
        </w:rPr>
        <w:t xml:space="preserve"> students’</w:t>
      </w:r>
      <w:r w:rsidR="00011D6A" w:rsidRPr="00095AF9">
        <w:rPr>
          <w:rFonts w:ascii="Times New Roman" w:hAnsi="Times New Roman"/>
          <w:sz w:val="24"/>
          <w:szCs w:val="24"/>
        </w:rPr>
        <w:t xml:space="preserve"> independent studies and journal notes</w:t>
      </w:r>
      <w:r w:rsidR="00011D6A">
        <w:rPr>
          <w:rFonts w:ascii="Times New Roman" w:hAnsi="Times New Roman"/>
          <w:sz w:val="24"/>
          <w:szCs w:val="24"/>
        </w:rPr>
        <w:t xml:space="preserve">; </w:t>
      </w:r>
      <w:r w:rsidR="00011D6A" w:rsidRPr="00095AF9">
        <w:rPr>
          <w:rFonts w:ascii="Times New Roman" w:hAnsi="Times New Roman"/>
          <w:sz w:val="24"/>
          <w:szCs w:val="24"/>
        </w:rPr>
        <w:t>participating in faculty recruitment</w:t>
      </w:r>
      <w:r w:rsidR="00011D6A">
        <w:rPr>
          <w:rFonts w:ascii="Times New Roman" w:hAnsi="Times New Roman"/>
          <w:sz w:val="24"/>
          <w:szCs w:val="24"/>
        </w:rPr>
        <w:t>;</w:t>
      </w:r>
      <w:r w:rsidR="00011D6A" w:rsidRPr="00182EBC">
        <w:rPr>
          <w:rFonts w:ascii="Times New Roman" w:hAnsi="Times New Roman"/>
          <w:sz w:val="24"/>
          <w:szCs w:val="24"/>
        </w:rPr>
        <w:t xml:space="preserve"> </w:t>
      </w:r>
      <w:r w:rsidR="006925E3" w:rsidRPr="00182EBC">
        <w:rPr>
          <w:rFonts w:ascii="Times New Roman" w:hAnsi="Times New Roman"/>
          <w:sz w:val="24"/>
          <w:szCs w:val="24"/>
        </w:rPr>
        <w:t xml:space="preserve">serving in professional organizations related to law; </w:t>
      </w:r>
      <w:r w:rsidR="006925E3">
        <w:rPr>
          <w:rFonts w:ascii="Times New Roman" w:hAnsi="Times New Roman"/>
          <w:sz w:val="24"/>
          <w:szCs w:val="24"/>
        </w:rPr>
        <w:t xml:space="preserve">serving in editorial roles; </w:t>
      </w:r>
      <w:r w:rsidR="00B91E68">
        <w:rPr>
          <w:rFonts w:ascii="Times New Roman" w:hAnsi="Times New Roman"/>
          <w:sz w:val="24"/>
          <w:szCs w:val="24"/>
        </w:rPr>
        <w:t xml:space="preserve">serving as a professional </w:t>
      </w:r>
      <w:r w:rsidR="00C145F8" w:rsidRPr="00C145F8">
        <w:rPr>
          <w:rFonts w:ascii="Times New Roman" w:hAnsi="Times New Roman"/>
          <w:sz w:val="24"/>
          <w:szCs w:val="24"/>
        </w:rPr>
        <w:t>mentor</w:t>
      </w:r>
      <w:r w:rsidR="00C145F8">
        <w:rPr>
          <w:rFonts w:ascii="Times New Roman" w:hAnsi="Times New Roman"/>
          <w:sz w:val="24"/>
          <w:szCs w:val="24"/>
        </w:rPr>
        <w:t>;</w:t>
      </w:r>
      <w:r w:rsidR="00C145F8" w:rsidRPr="00C145F8">
        <w:rPr>
          <w:rFonts w:ascii="Times New Roman" w:hAnsi="Times New Roman"/>
          <w:sz w:val="24"/>
          <w:szCs w:val="24"/>
        </w:rPr>
        <w:t xml:space="preserve"> </w:t>
      </w:r>
      <w:r w:rsidR="006925E3" w:rsidRPr="00182EBC">
        <w:rPr>
          <w:rFonts w:ascii="Times New Roman" w:hAnsi="Times New Roman"/>
          <w:sz w:val="24"/>
          <w:szCs w:val="24"/>
        </w:rPr>
        <w:t xml:space="preserve">providing </w:t>
      </w:r>
      <w:r w:rsidR="000F24DA">
        <w:rPr>
          <w:rFonts w:ascii="Times New Roman" w:hAnsi="Times New Roman"/>
          <w:sz w:val="24"/>
          <w:szCs w:val="24"/>
        </w:rPr>
        <w:t xml:space="preserve">pro bono </w:t>
      </w:r>
      <w:r w:rsidR="006925E3" w:rsidRPr="00182EBC">
        <w:rPr>
          <w:rFonts w:ascii="Times New Roman" w:hAnsi="Times New Roman"/>
          <w:sz w:val="24"/>
          <w:szCs w:val="24"/>
        </w:rPr>
        <w:t>legal services</w:t>
      </w:r>
      <w:r w:rsidR="0037485E">
        <w:rPr>
          <w:rFonts w:ascii="Times New Roman" w:hAnsi="Times New Roman"/>
          <w:sz w:val="24"/>
          <w:szCs w:val="24"/>
        </w:rPr>
        <w:t xml:space="preserve"> if appropriate</w:t>
      </w:r>
      <w:r w:rsidR="006925E3" w:rsidRPr="00182EBC">
        <w:rPr>
          <w:rFonts w:ascii="Times New Roman" w:hAnsi="Times New Roman"/>
          <w:sz w:val="24"/>
          <w:szCs w:val="24"/>
        </w:rPr>
        <w:t xml:space="preserve">; and conducting legal seminars and conferences. </w:t>
      </w:r>
      <w:r w:rsidRPr="008B0B53">
        <w:rPr>
          <w:rFonts w:ascii="Times New Roman" w:hAnsi="Times New Roman" w:cs="Times New Roman"/>
          <w:sz w:val="24"/>
          <w:szCs w:val="24"/>
        </w:rPr>
        <w:t xml:space="preserve"> </w:t>
      </w:r>
    </w:p>
    <w:p w14:paraId="46FE0C18" w14:textId="784A33CD" w:rsidR="008901CE" w:rsidRPr="008B0B53" w:rsidRDefault="008901CE" w:rsidP="008901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than in exceptional circumstances, it is anticipated that candidates will apply for continuing status in the</w:t>
      </w:r>
      <w:r w:rsidR="00772CC9">
        <w:rPr>
          <w:rFonts w:ascii="Times New Roman" w:hAnsi="Times New Roman" w:cs="Times New Roman"/>
          <w:sz w:val="24"/>
          <w:szCs w:val="24"/>
        </w:rPr>
        <w:t xml:space="preserve"> </w:t>
      </w:r>
      <w:r w:rsidR="0037485E">
        <w:rPr>
          <w:rFonts w:ascii="Times New Roman" w:hAnsi="Times New Roman" w:cs="Times New Roman"/>
          <w:sz w:val="24"/>
          <w:szCs w:val="24"/>
        </w:rPr>
        <w:t xml:space="preserve">fourth </w:t>
      </w:r>
      <w:r>
        <w:rPr>
          <w:rFonts w:ascii="Times New Roman" w:hAnsi="Times New Roman" w:cs="Times New Roman"/>
          <w:sz w:val="24"/>
          <w:szCs w:val="24"/>
        </w:rPr>
        <w:t>year of their appointment.</w:t>
      </w:r>
    </w:p>
    <w:p w14:paraId="1B22E1F7" w14:textId="77777777" w:rsidR="004A39DF" w:rsidRDefault="004A39DF" w:rsidP="008901CE">
      <w:pPr>
        <w:spacing w:line="240" w:lineRule="auto"/>
        <w:ind w:left="720"/>
        <w:rPr>
          <w:rFonts w:ascii="Times New Roman" w:hAnsi="Times New Roman" w:cs="Times New Roman"/>
          <w:sz w:val="24"/>
          <w:szCs w:val="24"/>
          <w:u w:val="single"/>
        </w:rPr>
      </w:pPr>
    </w:p>
    <w:p w14:paraId="24439421" w14:textId="77777777" w:rsidR="004A39DF" w:rsidRDefault="004A39DF" w:rsidP="008901CE">
      <w:pPr>
        <w:spacing w:line="240" w:lineRule="auto"/>
        <w:ind w:left="720"/>
        <w:rPr>
          <w:rFonts w:ascii="Times New Roman" w:hAnsi="Times New Roman" w:cs="Times New Roman"/>
          <w:sz w:val="24"/>
          <w:szCs w:val="24"/>
          <w:u w:val="single"/>
        </w:rPr>
      </w:pPr>
    </w:p>
    <w:p w14:paraId="4F966FD5" w14:textId="77777777" w:rsidR="004A39DF" w:rsidRDefault="004A39DF" w:rsidP="008901CE">
      <w:pPr>
        <w:spacing w:line="240" w:lineRule="auto"/>
        <w:ind w:left="720"/>
        <w:rPr>
          <w:rFonts w:ascii="Times New Roman" w:hAnsi="Times New Roman" w:cs="Times New Roman"/>
          <w:sz w:val="24"/>
          <w:szCs w:val="24"/>
          <w:u w:val="single"/>
        </w:rPr>
      </w:pPr>
    </w:p>
    <w:p w14:paraId="594D20E9" w14:textId="77777777" w:rsidR="008901CE" w:rsidRPr="00921C83" w:rsidRDefault="008901CE" w:rsidP="008901CE">
      <w:pPr>
        <w:spacing w:line="240" w:lineRule="auto"/>
        <w:ind w:left="720"/>
        <w:rPr>
          <w:rFonts w:ascii="Times New Roman" w:hAnsi="Times New Roman" w:cs="Times New Roman"/>
          <w:sz w:val="24"/>
          <w:szCs w:val="24"/>
          <w:u w:val="single"/>
        </w:rPr>
      </w:pPr>
      <w:r w:rsidRPr="00921C83">
        <w:rPr>
          <w:rFonts w:ascii="Times New Roman" w:hAnsi="Times New Roman" w:cs="Times New Roman"/>
          <w:sz w:val="24"/>
          <w:szCs w:val="24"/>
          <w:u w:val="single"/>
        </w:rPr>
        <w:t xml:space="preserve">Promotion </w:t>
      </w:r>
    </w:p>
    <w:p w14:paraId="7EF45F03" w14:textId="06422CA8" w:rsidR="008901CE" w:rsidRDefault="008901CE" w:rsidP="008901CE">
      <w:pPr>
        <w:spacing w:line="240" w:lineRule="auto"/>
        <w:ind w:left="720"/>
        <w:rPr>
          <w:rFonts w:ascii="Times New Roman" w:hAnsi="Times New Roman" w:cs="Times New Roman"/>
          <w:sz w:val="24"/>
          <w:szCs w:val="24"/>
        </w:rPr>
      </w:pPr>
      <w:r w:rsidRPr="00440147">
        <w:rPr>
          <w:rFonts w:ascii="Times New Roman" w:hAnsi="Times New Roman" w:cs="Times New Roman"/>
          <w:sz w:val="24"/>
          <w:szCs w:val="24"/>
        </w:rPr>
        <w:t>Promotion to</w:t>
      </w:r>
      <w:r w:rsidR="0037485E">
        <w:rPr>
          <w:rFonts w:ascii="Times New Roman" w:hAnsi="Times New Roman" w:cs="Times New Roman"/>
          <w:sz w:val="24"/>
          <w:szCs w:val="24"/>
        </w:rPr>
        <w:t xml:space="preserve"> full </w:t>
      </w:r>
      <w:r w:rsidR="00AF5172">
        <w:rPr>
          <w:rFonts w:ascii="Times New Roman" w:hAnsi="Times New Roman" w:cs="Times New Roman"/>
          <w:sz w:val="24"/>
          <w:szCs w:val="24"/>
        </w:rPr>
        <w:t>Academic Professional</w:t>
      </w:r>
      <w:r w:rsidRPr="00440147">
        <w:rPr>
          <w:rFonts w:ascii="Times New Roman" w:hAnsi="Times New Roman" w:cs="Times New Roman"/>
          <w:sz w:val="24"/>
          <w:szCs w:val="24"/>
        </w:rPr>
        <w:t xml:space="preserve"> is based on an overall record of excellence in the performance of </w:t>
      </w:r>
      <w:r>
        <w:rPr>
          <w:rFonts w:ascii="Times New Roman" w:hAnsi="Times New Roman" w:cs="Times New Roman"/>
          <w:sz w:val="24"/>
          <w:szCs w:val="24"/>
        </w:rPr>
        <w:t>the applicant’s</w:t>
      </w:r>
      <w:r w:rsidRPr="00440147">
        <w:rPr>
          <w:rFonts w:ascii="Times New Roman" w:hAnsi="Times New Roman" w:cs="Times New Roman"/>
          <w:sz w:val="24"/>
          <w:szCs w:val="24"/>
        </w:rPr>
        <w:t xml:space="preserve"> professional responsibilities</w:t>
      </w:r>
      <w:r>
        <w:rPr>
          <w:rFonts w:ascii="Times New Roman" w:hAnsi="Times New Roman" w:cs="Times New Roman"/>
          <w:sz w:val="24"/>
          <w:szCs w:val="24"/>
        </w:rPr>
        <w:t xml:space="preserve"> </w:t>
      </w:r>
      <w:r w:rsidRPr="00440147">
        <w:rPr>
          <w:rFonts w:ascii="Times New Roman" w:hAnsi="Times New Roman" w:cs="Times New Roman"/>
          <w:sz w:val="24"/>
          <w:szCs w:val="24"/>
        </w:rPr>
        <w:t>and whether the applicant is considered an expert with substantial professional e</w:t>
      </w:r>
      <w:r w:rsidR="003049E3">
        <w:rPr>
          <w:rFonts w:ascii="Times New Roman" w:hAnsi="Times New Roman" w:cs="Times New Roman"/>
          <w:sz w:val="24"/>
          <w:szCs w:val="24"/>
        </w:rPr>
        <w:t xml:space="preserve">xperience in a chosen field. </w:t>
      </w:r>
      <w:bookmarkStart w:id="0" w:name="_GoBack"/>
      <w:bookmarkEnd w:id="0"/>
      <w:r w:rsidR="003049E3" w:rsidRPr="003049E3">
        <w:rPr>
          <w:rFonts w:ascii="Times New Roman" w:hAnsi="Times New Roman" w:cs="Times New Roman"/>
          <w:sz w:val="24"/>
          <w:szCs w:val="24"/>
        </w:rPr>
        <w:t xml:space="preserve">Candidates may apply for promotion at the same time as applying for continuing status or later.  </w:t>
      </w:r>
    </w:p>
    <w:p w14:paraId="7FEDE428" w14:textId="77777777" w:rsidR="008901CE" w:rsidRPr="00921C83" w:rsidRDefault="008901CE" w:rsidP="008901CE">
      <w:pPr>
        <w:spacing w:line="240" w:lineRule="auto"/>
        <w:ind w:firstLine="720"/>
        <w:rPr>
          <w:rFonts w:ascii="Times New Roman" w:hAnsi="Times New Roman" w:cs="Times New Roman"/>
          <w:sz w:val="24"/>
          <w:szCs w:val="24"/>
          <w:u w:val="single"/>
        </w:rPr>
      </w:pPr>
      <w:r w:rsidRPr="00921C83">
        <w:rPr>
          <w:rFonts w:ascii="Times New Roman" w:hAnsi="Times New Roman" w:cs="Times New Roman"/>
          <w:sz w:val="24"/>
          <w:szCs w:val="24"/>
          <w:u w:val="single"/>
        </w:rPr>
        <w:t xml:space="preserve">Guidelines for </w:t>
      </w:r>
      <w:r w:rsidR="00F80DD2">
        <w:rPr>
          <w:rFonts w:ascii="Times New Roman" w:hAnsi="Times New Roman" w:cs="Times New Roman"/>
          <w:sz w:val="24"/>
          <w:szCs w:val="24"/>
          <w:u w:val="single"/>
        </w:rPr>
        <w:t>P</w:t>
      </w:r>
      <w:r w:rsidRPr="00921C83">
        <w:rPr>
          <w:rFonts w:ascii="Times New Roman" w:hAnsi="Times New Roman" w:cs="Times New Roman"/>
          <w:sz w:val="24"/>
          <w:szCs w:val="24"/>
          <w:u w:val="single"/>
        </w:rPr>
        <w:t xml:space="preserve">romotion </w:t>
      </w:r>
      <w:r w:rsidR="000F24DA">
        <w:rPr>
          <w:rFonts w:ascii="Times New Roman" w:hAnsi="Times New Roman" w:cs="Times New Roman"/>
          <w:sz w:val="24"/>
          <w:szCs w:val="24"/>
          <w:u w:val="single"/>
        </w:rPr>
        <w:t>A</w:t>
      </w:r>
      <w:r w:rsidRPr="00921C83">
        <w:rPr>
          <w:rFonts w:ascii="Times New Roman" w:hAnsi="Times New Roman" w:cs="Times New Roman"/>
          <w:sz w:val="24"/>
          <w:szCs w:val="24"/>
          <w:u w:val="single"/>
        </w:rPr>
        <w:t>pplicants</w:t>
      </w:r>
    </w:p>
    <w:p w14:paraId="225B45B0" w14:textId="5F43A2BA" w:rsidR="00AF5172" w:rsidRDefault="00AF5172" w:rsidP="008901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overall record of excellence in performance of the applicant’s professional responsibilities is demonstrated through:</w:t>
      </w:r>
    </w:p>
    <w:p w14:paraId="544C0D01" w14:textId="3FD40F7D" w:rsidR="00AF5172" w:rsidRPr="00AF5172" w:rsidRDefault="00AF5172" w:rsidP="00AF51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Continued excellence in t</w:t>
      </w:r>
      <w:r w:rsidRPr="00AF5172">
        <w:rPr>
          <w:rFonts w:ascii="Times New Roman" w:hAnsi="Times New Roman" w:cs="Times New Roman"/>
          <w:sz w:val="24"/>
          <w:szCs w:val="24"/>
        </w:rPr>
        <w:t xml:space="preserve">eaching as evidenced by, among other things, </w:t>
      </w:r>
      <w:r w:rsidR="00BE59B1">
        <w:rPr>
          <w:rFonts w:ascii="Times New Roman" w:hAnsi="Times New Roman" w:cs="Times New Roman"/>
          <w:sz w:val="24"/>
          <w:szCs w:val="24"/>
        </w:rPr>
        <w:t>s</w:t>
      </w:r>
      <w:r w:rsidRPr="00AF5172">
        <w:rPr>
          <w:rFonts w:ascii="Times New Roman" w:hAnsi="Times New Roman" w:cs="Times New Roman"/>
          <w:sz w:val="24"/>
          <w:szCs w:val="24"/>
        </w:rPr>
        <w:t>tudent and peer evaluations of teaching; syllabi; teaching materials; materials by which the students are evaluated; and the development of innovative pedagogical methods</w:t>
      </w:r>
      <w:r>
        <w:rPr>
          <w:rFonts w:ascii="Times New Roman" w:hAnsi="Times New Roman" w:cs="Times New Roman"/>
          <w:sz w:val="24"/>
          <w:szCs w:val="24"/>
        </w:rPr>
        <w:t xml:space="preserve">, </w:t>
      </w:r>
    </w:p>
    <w:p w14:paraId="049BD3BB" w14:textId="208F13AE" w:rsidR="00AF5172" w:rsidRPr="00AF5172" w:rsidRDefault="00AF5172" w:rsidP="00AF51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Continued evidence of a</w:t>
      </w:r>
      <w:r w:rsidRPr="00AF5172">
        <w:rPr>
          <w:rFonts w:ascii="Times New Roman" w:hAnsi="Times New Roman" w:cs="Times New Roman"/>
          <w:sz w:val="24"/>
          <w:szCs w:val="24"/>
        </w:rPr>
        <w:t>dvancing the overall goals of the particular program (Clinical or Legal Writing) to which the applicant belongs</w:t>
      </w:r>
      <w:r>
        <w:rPr>
          <w:rFonts w:ascii="Times New Roman" w:hAnsi="Times New Roman" w:cs="Times New Roman"/>
          <w:sz w:val="24"/>
          <w:szCs w:val="24"/>
        </w:rPr>
        <w:t>, and</w:t>
      </w:r>
    </w:p>
    <w:p w14:paraId="40C69176" w14:textId="0EEDA62A" w:rsidR="00AF5172" w:rsidRPr="00AF5172" w:rsidRDefault="00AF5172" w:rsidP="00AF51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Continued e</w:t>
      </w:r>
      <w:r w:rsidRPr="00AF5172">
        <w:rPr>
          <w:rFonts w:ascii="Times New Roman" w:hAnsi="Times New Roman" w:cs="Times New Roman"/>
          <w:sz w:val="24"/>
          <w:szCs w:val="24"/>
        </w:rPr>
        <w:t xml:space="preserve">xcellence in service </w:t>
      </w:r>
      <w:r>
        <w:rPr>
          <w:rFonts w:ascii="Times New Roman" w:hAnsi="Times New Roman" w:cs="Times New Roman"/>
          <w:sz w:val="24"/>
          <w:szCs w:val="24"/>
        </w:rPr>
        <w:t>as</w:t>
      </w:r>
      <w:r w:rsidRPr="00AF5172">
        <w:rPr>
          <w:rFonts w:ascii="Times New Roman" w:hAnsi="Times New Roman" w:cs="Times New Roman"/>
          <w:sz w:val="24"/>
          <w:szCs w:val="24"/>
        </w:rPr>
        <w:t xml:space="preserve"> demonstrated through the value of the applicant’s service to the law school, the university, the community, and/or the legal profession.  Service activities </w:t>
      </w:r>
      <w:r>
        <w:rPr>
          <w:rFonts w:ascii="Times New Roman" w:hAnsi="Times New Roman" w:cs="Times New Roman"/>
          <w:sz w:val="24"/>
          <w:szCs w:val="24"/>
        </w:rPr>
        <w:t xml:space="preserve">may </w:t>
      </w:r>
      <w:r w:rsidRPr="00AF5172">
        <w:rPr>
          <w:rFonts w:ascii="Times New Roman" w:hAnsi="Times New Roman" w:cs="Times New Roman"/>
          <w:sz w:val="24"/>
          <w:szCs w:val="24"/>
        </w:rPr>
        <w:t xml:space="preserve">include, among other things, participating in the governance of the College; serving on College or University committees; advising student organizations; supervising students’ independent studies and journal notes; participating in faculty recruitment; serving in professional organizations related to law; serving in editorial roles; serving as a professional mentor; providing pro bono legal services if appropriate; and conducting legal seminars and conferences.  </w:t>
      </w:r>
    </w:p>
    <w:p w14:paraId="6456CC4A" w14:textId="10D5E9FA" w:rsidR="008901CE" w:rsidRDefault="008901CE" w:rsidP="008901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Expertise and experience are demonstrated through:</w:t>
      </w:r>
    </w:p>
    <w:p w14:paraId="70E8132A" w14:textId="31DAFDCD" w:rsidR="008901CE" w:rsidRDefault="00AF5172" w:rsidP="008901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Holding l</w:t>
      </w:r>
      <w:r w:rsidR="008901CE">
        <w:rPr>
          <w:rFonts w:ascii="Times New Roman" w:hAnsi="Times New Roman" w:cs="Times New Roman"/>
          <w:sz w:val="24"/>
          <w:szCs w:val="24"/>
        </w:rPr>
        <w:t xml:space="preserve">eadership </w:t>
      </w:r>
      <w:r>
        <w:rPr>
          <w:rFonts w:ascii="Times New Roman" w:hAnsi="Times New Roman" w:cs="Times New Roman"/>
          <w:sz w:val="24"/>
          <w:szCs w:val="24"/>
        </w:rPr>
        <w:t xml:space="preserve">positions </w:t>
      </w:r>
      <w:r w:rsidR="008901CE">
        <w:rPr>
          <w:rFonts w:ascii="Times New Roman" w:hAnsi="Times New Roman" w:cs="Times New Roman"/>
          <w:sz w:val="24"/>
          <w:szCs w:val="24"/>
        </w:rPr>
        <w:t xml:space="preserve">in professional </w:t>
      </w:r>
      <w:r>
        <w:rPr>
          <w:rFonts w:ascii="Times New Roman" w:hAnsi="Times New Roman" w:cs="Times New Roman"/>
          <w:sz w:val="24"/>
          <w:szCs w:val="24"/>
        </w:rPr>
        <w:t>organizations within the applicant’s field</w:t>
      </w:r>
      <w:r w:rsidR="008901CE">
        <w:rPr>
          <w:rFonts w:ascii="Times New Roman" w:hAnsi="Times New Roman" w:cs="Times New Roman"/>
          <w:sz w:val="24"/>
          <w:szCs w:val="24"/>
        </w:rPr>
        <w:t xml:space="preserve">, </w:t>
      </w:r>
    </w:p>
    <w:p w14:paraId="12341BC3" w14:textId="029828AD" w:rsidR="008901CE" w:rsidRDefault="008238D5" w:rsidP="008901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Performing work that positively </w:t>
      </w:r>
      <w:r w:rsidR="00315A4E">
        <w:rPr>
          <w:rFonts w:ascii="Times New Roman" w:hAnsi="Times New Roman" w:cs="Times New Roman"/>
          <w:sz w:val="24"/>
          <w:szCs w:val="24"/>
        </w:rPr>
        <w:t>affect</w:t>
      </w:r>
      <w:r>
        <w:rPr>
          <w:rFonts w:ascii="Times New Roman" w:hAnsi="Times New Roman" w:cs="Times New Roman"/>
          <w:sz w:val="24"/>
          <w:szCs w:val="24"/>
        </w:rPr>
        <w:t>s</w:t>
      </w:r>
      <w:r w:rsidR="00315A4E">
        <w:rPr>
          <w:rFonts w:ascii="Times New Roman" w:hAnsi="Times New Roman" w:cs="Times New Roman"/>
          <w:sz w:val="24"/>
          <w:szCs w:val="24"/>
        </w:rPr>
        <w:t xml:space="preserve"> </w:t>
      </w:r>
      <w:r w:rsidR="008901CE">
        <w:rPr>
          <w:rFonts w:ascii="Times New Roman" w:hAnsi="Times New Roman" w:cs="Times New Roman"/>
          <w:sz w:val="24"/>
          <w:szCs w:val="24"/>
        </w:rPr>
        <w:t xml:space="preserve">the applicant’s field, </w:t>
      </w:r>
      <w:r>
        <w:rPr>
          <w:rFonts w:ascii="Times New Roman" w:hAnsi="Times New Roman" w:cs="Times New Roman"/>
          <w:sz w:val="24"/>
          <w:szCs w:val="24"/>
        </w:rPr>
        <w:t xml:space="preserve">such as organizing conferences or workshops or serving on editorial boards, </w:t>
      </w:r>
      <w:r w:rsidR="008901CE">
        <w:rPr>
          <w:rFonts w:ascii="Times New Roman" w:hAnsi="Times New Roman" w:cs="Times New Roman"/>
          <w:sz w:val="24"/>
          <w:szCs w:val="24"/>
        </w:rPr>
        <w:t>or</w:t>
      </w:r>
    </w:p>
    <w:p w14:paraId="7419B1B9" w14:textId="17356FBA" w:rsidR="008901CE" w:rsidRDefault="008901CE" w:rsidP="008901C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Sharing knowledge and experience with others in the applicant’s field</w:t>
      </w:r>
      <w:r w:rsidR="00AF5172">
        <w:rPr>
          <w:rFonts w:ascii="Times New Roman" w:hAnsi="Times New Roman" w:cs="Times New Roman"/>
          <w:sz w:val="24"/>
          <w:szCs w:val="24"/>
        </w:rPr>
        <w:t>,</w:t>
      </w:r>
      <w:r w:rsidR="009518FC">
        <w:rPr>
          <w:rFonts w:ascii="Times New Roman" w:hAnsi="Times New Roman" w:cs="Times New Roman"/>
          <w:sz w:val="24"/>
          <w:szCs w:val="24"/>
        </w:rPr>
        <w:t xml:space="preserve"> including by </w:t>
      </w:r>
      <w:r w:rsidR="00AF5172">
        <w:rPr>
          <w:rFonts w:ascii="Times New Roman" w:hAnsi="Times New Roman" w:cs="Times New Roman"/>
          <w:sz w:val="24"/>
          <w:szCs w:val="24"/>
        </w:rPr>
        <w:t>speaking at conferences, participating in workshops, or publishing</w:t>
      </w:r>
      <w:r>
        <w:rPr>
          <w:rFonts w:ascii="Times New Roman" w:hAnsi="Times New Roman" w:cs="Times New Roman"/>
          <w:sz w:val="24"/>
          <w:szCs w:val="24"/>
        </w:rPr>
        <w:t xml:space="preserve">. </w:t>
      </w:r>
    </w:p>
    <w:p w14:paraId="62A84226" w14:textId="225D1AFD" w:rsidR="003860BD" w:rsidRDefault="008901CE" w:rsidP="002C755A">
      <w:pPr>
        <w:pStyle w:val="ListParagraph"/>
        <w:numPr>
          <w:ilvl w:val="0"/>
          <w:numId w:val="1"/>
        </w:numPr>
      </w:pPr>
      <w:r w:rsidRPr="00CD11FE">
        <w:rPr>
          <w:rFonts w:ascii="Times New Roman" w:hAnsi="Times New Roman" w:cs="Times New Roman"/>
          <w:sz w:val="24"/>
          <w:szCs w:val="24"/>
        </w:rPr>
        <w:t>Candidates may apply for promotion at the same time as applying for continuing status although candidates may apply at a later time.</w:t>
      </w:r>
      <w:r w:rsidR="003860BD">
        <w:br w:type="page"/>
      </w:r>
    </w:p>
    <w:p w14:paraId="31172BC5" w14:textId="68E120D8" w:rsidR="00315A4E" w:rsidRPr="002C755A" w:rsidRDefault="00315A4E" w:rsidP="00315A4E">
      <w:pPr>
        <w:rPr>
          <w:rFonts w:ascii="Times New Roman" w:hAnsi="Times New Roman" w:cs="Times New Roman"/>
          <w:sz w:val="24"/>
          <w:szCs w:val="24"/>
        </w:rPr>
      </w:pPr>
      <w:r w:rsidRPr="002C755A">
        <w:rPr>
          <w:rFonts w:ascii="Times New Roman" w:hAnsi="Times New Roman" w:cs="Times New Roman"/>
          <w:sz w:val="24"/>
          <w:szCs w:val="24"/>
        </w:rPr>
        <w:lastRenderedPageBreak/>
        <w:t xml:space="preserve">C.  Standards for </w:t>
      </w:r>
      <w:r w:rsidR="009D6AD1">
        <w:rPr>
          <w:rFonts w:ascii="Times New Roman" w:hAnsi="Times New Roman" w:cs="Times New Roman"/>
          <w:sz w:val="24"/>
          <w:szCs w:val="24"/>
        </w:rPr>
        <w:t>P</w:t>
      </w:r>
      <w:r w:rsidRPr="002C755A">
        <w:rPr>
          <w:rFonts w:ascii="Times New Roman" w:hAnsi="Times New Roman" w:cs="Times New Roman"/>
          <w:sz w:val="24"/>
          <w:szCs w:val="24"/>
        </w:rPr>
        <w:t>romotion for Fixed-Term Faculty</w:t>
      </w:r>
      <w:r w:rsidR="00705C2B">
        <w:rPr>
          <w:rFonts w:ascii="Times New Roman" w:hAnsi="Times New Roman" w:cs="Times New Roman"/>
          <w:sz w:val="24"/>
          <w:szCs w:val="24"/>
        </w:rPr>
        <w:t xml:space="preserve"> (Lecturers)</w:t>
      </w:r>
    </w:p>
    <w:p w14:paraId="31EED3A1" w14:textId="77777777" w:rsidR="00FD5B9E" w:rsidRDefault="00FD5B9E" w:rsidP="003860BD">
      <w:pPr>
        <w:spacing w:line="240" w:lineRule="auto"/>
        <w:ind w:left="720"/>
        <w:rPr>
          <w:rFonts w:ascii="Times New Roman" w:hAnsi="Times New Roman" w:cs="Times New Roman"/>
          <w:sz w:val="24"/>
          <w:szCs w:val="24"/>
          <w:u w:val="single"/>
        </w:rPr>
      </w:pPr>
      <w:r w:rsidRPr="002C755A">
        <w:rPr>
          <w:rFonts w:ascii="Times New Roman" w:hAnsi="Times New Roman" w:cs="Times New Roman"/>
          <w:sz w:val="24"/>
          <w:szCs w:val="24"/>
        </w:rPr>
        <w:t>Introduction</w:t>
      </w:r>
    </w:p>
    <w:p w14:paraId="21D7D465" w14:textId="1FB5F382" w:rsidR="003860BD" w:rsidRPr="00FD5B9E" w:rsidRDefault="003860BD" w:rsidP="00FD5B9E">
      <w:pPr>
        <w:spacing w:line="240" w:lineRule="auto"/>
        <w:ind w:left="720"/>
        <w:rPr>
          <w:rFonts w:ascii="Times New Roman" w:hAnsi="Times New Roman" w:cs="Times New Roman"/>
          <w:sz w:val="24"/>
          <w:szCs w:val="24"/>
          <w:u w:val="single"/>
        </w:rPr>
      </w:pPr>
      <w:r w:rsidRPr="00705C2B">
        <w:rPr>
          <w:rFonts w:ascii="Times New Roman" w:hAnsi="Times New Roman" w:cs="Times New Roman"/>
          <w:sz w:val="24"/>
          <w:szCs w:val="24"/>
          <w:u w:val="single"/>
        </w:rPr>
        <w:t>Lecturers are hired on a fixed-term basis</w:t>
      </w:r>
      <w:r w:rsidR="00FD5B9E">
        <w:rPr>
          <w:rFonts w:ascii="Times New Roman" w:hAnsi="Times New Roman" w:cs="Times New Roman"/>
          <w:sz w:val="24"/>
          <w:szCs w:val="24"/>
          <w:u w:val="single"/>
        </w:rPr>
        <w:t xml:space="preserve">, typically for </w:t>
      </w:r>
      <w:r w:rsidR="00C31E6C">
        <w:rPr>
          <w:rFonts w:ascii="Times New Roman" w:hAnsi="Times New Roman" w:cs="Times New Roman"/>
          <w:sz w:val="24"/>
          <w:szCs w:val="24"/>
          <w:u w:val="single"/>
        </w:rPr>
        <w:t>a one-</w:t>
      </w:r>
      <w:r w:rsidR="00FD5B9E">
        <w:rPr>
          <w:rFonts w:ascii="Times New Roman" w:hAnsi="Times New Roman" w:cs="Times New Roman"/>
          <w:sz w:val="24"/>
          <w:szCs w:val="24"/>
          <w:u w:val="single"/>
        </w:rPr>
        <w:t xml:space="preserve">year term and </w:t>
      </w:r>
      <w:r w:rsidR="00FD5B9E" w:rsidRPr="00520939">
        <w:rPr>
          <w:rFonts w:ascii="Times New Roman" w:hAnsi="Times New Roman" w:cs="Times New Roman"/>
          <w:sz w:val="24"/>
          <w:szCs w:val="24"/>
        </w:rPr>
        <w:t xml:space="preserve">are evaluated based on </w:t>
      </w:r>
      <w:r w:rsidR="001E6A5D" w:rsidRPr="001E6A5D">
        <w:rPr>
          <w:rFonts w:ascii="Times New Roman" w:hAnsi="Times New Roman" w:cs="Times New Roman"/>
          <w:sz w:val="24"/>
          <w:szCs w:val="24"/>
        </w:rPr>
        <w:t>performance of the</w:t>
      </w:r>
      <w:r w:rsidR="001E6A5D">
        <w:rPr>
          <w:rFonts w:ascii="Times New Roman" w:hAnsi="Times New Roman" w:cs="Times New Roman"/>
          <w:sz w:val="24"/>
          <w:szCs w:val="24"/>
        </w:rPr>
        <w:t>ir</w:t>
      </w:r>
      <w:r w:rsidR="001E6A5D" w:rsidRPr="001E6A5D">
        <w:rPr>
          <w:rFonts w:ascii="Times New Roman" w:hAnsi="Times New Roman" w:cs="Times New Roman"/>
          <w:sz w:val="24"/>
          <w:szCs w:val="24"/>
        </w:rPr>
        <w:t xml:space="preserve"> professional responsibilities, which typically </w:t>
      </w:r>
      <w:r w:rsidR="001E6A5D">
        <w:rPr>
          <w:rFonts w:ascii="Times New Roman" w:hAnsi="Times New Roman" w:cs="Times New Roman"/>
          <w:sz w:val="24"/>
          <w:szCs w:val="24"/>
        </w:rPr>
        <w:t xml:space="preserve">requires excellence in </w:t>
      </w:r>
      <w:r w:rsidR="001E6A5D" w:rsidRPr="001E6A5D">
        <w:rPr>
          <w:rFonts w:ascii="Times New Roman" w:hAnsi="Times New Roman" w:cs="Times New Roman"/>
          <w:sz w:val="24"/>
          <w:szCs w:val="24"/>
        </w:rPr>
        <w:t>teaching</w:t>
      </w:r>
      <w:r w:rsidR="00FD5B9E">
        <w:rPr>
          <w:rFonts w:ascii="Times New Roman" w:hAnsi="Times New Roman" w:cs="Times New Roman"/>
          <w:sz w:val="24"/>
          <w:szCs w:val="24"/>
        </w:rPr>
        <w:t>.  A Lecturer may be promoted to Senior Lecturer</w:t>
      </w:r>
      <w:r w:rsidR="008870E1">
        <w:rPr>
          <w:rFonts w:ascii="Times New Roman" w:hAnsi="Times New Roman" w:cs="Times New Roman"/>
          <w:sz w:val="24"/>
          <w:szCs w:val="24"/>
        </w:rPr>
        <w:t xml:space="preserve"> and then to Principal Lecturer.</w:t>
      </w:r>
    </w:p>
    <w:p w14:paraId="3560E7C1" w14:textId="6BFE9CF2" w:rsidR="003860BD" w:rsidRPr="00FD5B9E" w:rsidRDefault="003860BD" w:rsidP="003860BD">
      <w:pPr>
        <w:spacing w:line="240" w:lineRule="auto"/>
        <w:ind w:left="720"/>
        <w:rPr>
          <w:rFonts w:ascii="Times New Roman" w:hAnsi="Times New Roman" w:cs="Times New Roman"/>
          <w:sz w:val="24"/>
          <w:szCs w:val="24"/>
          <w:u w:val="single"/>
        </w:rPr>
      </w:pPr>
      <w:r w:rsidRPr="00FD5B9E">
        <w:rPr>
          <w:rFonts w:ascii="Times New Roman" w:hAnsi="Times New Roman" w:cs="Times New Roman"/>
          <w:sz w:val="24"/>
          <w:szCs w:val="24"/>
          <w:u w:val="single"/>
        </w:rPr>
        <w:t xml:space="preserve">Promotion </w:t>
      </w:r>
    </w:p>
    <w:p w14:paraId="61A798E6" w14:textId="55F73E42" w:rsidR="003860BD" w:rsidRDefault="003860BD" w:rsidP="008870E1">
      <w:pPr>
        <w:spacing w:line="240" w:lineRule="auto"/>
        <w:ind w:left="720"/>
        <w:rPr>
          <w:rFonts w:ascii="Times New Roman" w:hAnsi="Times New Roman" w:cs="Times New Roman"/>
          <w:sz w:val="24"/>
          <w:szCs w:val="24"/>
        </w:rPr>
      </w:pPr>
      <w:r w:rsidRPr="00FD5B9E">
        <w:rPr>
          <w:rFonts w:ascii="Times New Roman" w:hAnsi="Times New Roman" w:cs="Times New Roman"/>
          <w:sz w:val="24"/>
          <w:szCs w:val="24"/>
        </w:rPr>
        <w:t xml:space="preserve">Promotion to Senior Lecturer is based on an overall record of excellence in the performance of </w:t>
      </w:r>
      <w:r w:rsidRPr="008870E1">
        <w:rPr>
          <w:rFonts w:ascii="Times New Roman" w:hAnsi="Times New Roman" w:cs="Times New Roman"/>
          <w:sz w:val="24"/>
          <w:szCs w:val="24"/>
        </w:rPr>
        <w:t>the applicant’s professional responsibilities.</w:t>
      </w:r>
      <w:r w:rsidR="008870E1">
        <w:rPr>
          <w:rFonts w:ascii="Times New Roman" w:hAnsi="Times New Roman" w:cs="Times New Roman"/>
          <w:sz w:val="24"/>
          <w:szCs w:val="24"/>
        </w:rPr>
        <w:t xml:space="preserve">  </w:t>
      </w:r>
      <w:r w:rsidR="008870E1" w:rsidRPr="002C755A">
        <w:rPr>
          <w:rFonts w:ascii="Times New Roman" w:hAnsi="Times New Roman" w:cs="Times New Roman"/>
          <w:sz w:val="24"/>
          <w:szCs w:val="24"/>
        </w:rPr>
        <w:t xml:space="preserve">A senior lecturer generally holds a doctorate degree (or appropriate terminal degree) and has a minimum of five years of </w:t>
      </w:r>
      <w:r w:rsidR="008870E1">
        <w:rPr>
          <w:rFonts w:ascii="Times New Roman" w:hAnsi="Times New Roman" w:cs="Times New Roman"/>
          <w:sz w:val="24"/>
          <w:szCs w:val="24"/>
        </w:rPr>
        <w:t>law school</w:t>
      </w:r>
      <w:r w:rsidR="008870E1" w:rsidRPr="002C755A">
        <w:rPr>
          <w:rFonts w:ascii="Times New Roman" w:hAnsi="Times New Roman" w:cs="Times New Roman"/>
          <w:sz w:val="24"/>
          <w:szCs w:val="24"/>
        </w:rPr>
        <w:t>-level teaching experience or equivalent qualifications and experience.</w:t>
      </w:r>
    </w:p>
    <w:p w14:paraId="62171FB2" w14:textId="1C2A84EA" w:rsidR="008870E1" w:rsidRPr="008870E1" w:rsidRDefault="008870E1" w:rsidP="008870E1">
      <w:pPr>
        <w:spacing w:line="240" w:lineRule="auto"/>
        <w:ind w:left="720"/>
        <w:rPr>
          <w:rFonts w:ascii="Times New Roman" w:hAnsi="Times New Roman" w:cs="Times New Roman"/>
          <w:sz w:val="24"/>
          <w:szCs w:val="24"/>
        </w:rPr>
      </w:pPr>
      <w:r w:rsidRPr="00FD5B9E">
        <w:rPr>
          <w:rFonts w:ascii="Times New Roman" w:hAnsi="Times New Roman" w:cs="Times New Roman"/>
          <w:sz w:val="24"/>
          <w:szCs w:val="24"/>
        </w:rPr>
        <w:t xml:space="preserve">Promotion to </w:t>
      </w:r>
      <w:r w:rsidR="001E6A5D">
        <w:rPr>
          <w:rFonts w:ascii="Times New Roman" w:hAnsi="Times New Roman" w:cs="Times New Roman"/>
          <w:sz w:val="24"/>
          <w:szCs w:val="24"/>
        </w:rPr>
        <w:t xml:space="preserve">Principal </w:t>
      </w:r>
      <w:r w:rsidR="001E6A5D" w:rsidRPr="001E6A5D">
        <w:rPr>
          <w:rFonts w:ascii="Times New Roman" w:hAnsi="Times New Roman" w:cs="Times New Roman"/>
          <w:sz w:val="24"/>
          <w:szCs w:val="24"/>
        </w:rPr>
        <w:t>Lecturer</w:t>
      </w:r>
      <w:r w:rsidR="001E6A5D">
        <w:rPr>
          <w:rFonts w:ascii="Times New Roman" w:hAnsi="Times New Roman" w:cs="Times New Roman"/>
          <w:sz w:val="24"/>
          <w:szCs w:val="24"/>
        </w:rPr>
        <w:t xml:space="preserve"> is </w:t>
      </w:r>
      <w:r w:rsidR="001E6A5D" w:rsidRPr="00FD5B9E">
        <w:rPr>
          <w:rFonts w:ascii="Times New Roman" w:hAnsi="Times New Roman" w:cs="Times New Roman"/>
          <w:sz w:val="24"/>
          <w:szCs w:val="24"/>
        </w:rPr>
        <w:t xml:space="preserve">based on an overall record of excellence in the performance of </w:t>
      </w:r>
      <w:r w:rsidR="001E6A5D" w:rsidRPr="008870E1">
        <w:rPr>
          <w:rFonts w:ascii="Times New Roman" w:hAnsi="Times New Roman" w:cs="Times New Roman"/>
          <w:sz w:val="24"/>
          <w:szCs w:val="24"/>
        </w:rPr>
        <w:t>the applicant’s professional responsibilities</w:t>
      </w:r>
      <w:r w:rsidR="001E6A5D" w:rsidRPr="001E6A5D">
        <w:rPr>
          <w:rFonts w:ascii="Times New Roman" w:hAnsi="Times New Roman" w:cs="Times New Roman"/>
          <w:sz w:val="24"/>
          <w:szCs w:val="24"/>
        </w:rPr>
        <w:t xml:space="preserve">. A principal lecturer generally holds a doctorate degree (or appropriate terminal degree) and has a minimum of seven years of </w:t>
      </w:r>
      <w:r w:rsidR="001E6A5D">
        <w:rPr>
          <w:rFonts w:ascii="Times New Roman" w:hAnsi="Times New Roman" w:cs="Times New Roman"/>
          <w:sz w:val="24"/>
          <w:szCs w:val="24"/>
        </w:rPr>
        <w:t>law school</w:t>
      </w:r>
      <w:r w:rsidR="001E6A5D" w:rsidRPr="001E6A5D">
        <w:rPr>
          <w:rFonts w:ascii="Times New Roman" w:hAnsi="Times New Roman" w:cs="Times New Roman"/>
          <w:sz w:val="24"/>
          <w:szCs w:val="24"/>
        </w:rPr>
        <w:t>-level teaching experience or equivalent qualifications and experience.</w:t>
      </w:r>
      <w:r w:rsidR="001E6A5D" w:rsidRPr="00FD5B9E" w:rsidDel="001E6A5D">
        <w:rPr>
          <w:rFonts w:ascii="Times New Roman" w:hAnsi="Times New Roman" w:cs="Times New Roman"/>
          <w:sz w:val="24"/>
          <w:szCs w:val="24"/>
        </w:rPr>
        <w:t xml:space="preserve"> </w:t>
      </w:r>
    </w:p>
    <w:p w14:paraId="75A19BD3" w14:textId="77777777" w:rsidR="003860BD" w:rsidRPr="008870E1" w:rsidRDefault="003860BD" w:rsidP="003860BD">
      <w:pPr>
        <w:spacing w:line="240" w:lineRule="auto"/>
        <w:ind w:firstLine="720"/>
        <w:rPr>
          <w:rFonts w:ascii="Times New Roman" w:hAnsi="Times New Roman" w:cs="Times New Roman"/>
          <w:sz w:val="24"/>
          <w:szCs w:val="24"/>
          <w:u w:val="single"/>
        </w:rPr>
      </w:pPr>
      <w:r w:rsidRPr="008870E1">
        <w:rPr>
          <w:rFonts w:ascii="Times New Roman" w:hAnsi="Times New Roman" w:cs="Times New Roman"/>
          <w:sz w:val="24"/>
          <w:szCs w:val="24"/>
          <w:u w:val="single"/>
        </w:rPr>
        <w:t>Guidelines for Promotion Applicants</w:t>
      </w:r>
    </w:p>
    <w:p w14:paraId="0AB034ED" w14:textId="77777777" w:rsidR="00C1733C" w:rsidRPr="00C1733C" w:rsidRDefault="008870E1" w:rsidP="002C755A">
      <w:pPr>
        <w:pStyle w:val="ListParagraph"/>
        <w:numPr>
          <w:ilvl w:val="0"/>
          <w:numId w:val="1"/>
        </w:numPr>
        <w:rPr>
          <w:rFonts w:ascii="Times New Roman" w:hAnsi="Times New Roman" w:cs="Times New Roman"/>
          <w:sz w:val="24"/>
          <w:szCs w:val="24"/>
        </w:rPr>
      </w:pPr>
      <w:r w:rsidRPr="0094259E">
        <w:rPr>
          <w:rFonts w:ascii="Times New Roman" w:hAnsi="Times New Roman" w:cs="Times New Roman"/>
          <w:sz w:val="24"/>
          <w:szCs w:val="24"/>
        </w:rPr>
        <w:t xml:space="preserve">Excellence in teaching is demonstrated </w:t>
      </w:r>
      <w:r w:rsidRPr="0094259E">
        <w:rPr>
          <w:rFonts w:ascii="Times New Roman" w:hAnsi="Times New Roman"/>
          <w:sz w:val="24"/>
          <w:szCs w:val="24"/>
        </w:rPr>
        <w:t>by, among other things, student and peer evaluations of classroom performance</w:t>
      </w:r>
      <w:r>
        <w:rPr>
          <w:rFonts w:ascii="Times New Roman" w:hAnsi="Times New Roman"/>
          <w:sz w:val="24"/>
          <w:szCs w:val="24"/>
        </w:rPr>
        <w:t>;</w:t>
      </w:r>
      <w:r w:rsidRPr="0094259E">
        <w:rPr>
          <w:rFonts w:ascii="Times New Roman" w:hAnsi="Times New Roman"/>
          <w:sz w:val="24"/>
          <w:szCs w:val="24"/>
        </w:rPr>
        <w:t xml:space="preserve"> syllabi</w:t>
      </w:r>
      <w:r>
        <w:rPr>
          <w:rFonts w:ascii="Times New Roman" w:hAnsi="Times New Roman"/>
          <w:sz w:val="24"/>
          <w:szCs w:val="24"/>
        </w:rPr>
        <w:t>;</w:t>
      </w:r>
      <w:r w:rsidRPr="0094259E">
        <w:rPr>
          <w:rFonts w:ascii="Times New Roman" w:hAnsi="Times New Roman"/>
          <w:sz w:val="24"/>
          <w:szCs w:val="24"/>
        </w:rPr>
        <w:t xml:space="preserve"> teaching materials</w:t>
      </w:r>
      <w:r>
        <w:rPr>
          <w:rFonts w:ascii="Times New Roman" w:hAnsi="Times New Roman"/>
          <w:sz w:val="24"/>
          <w:szCs w:val="24"/>
        </w:rPr>
        <w:t>;</w:t>
      </w:r>
      <w:r w:rsidRPr="0094259E">
        <w:rPr>
          <w:rFonts w:ascii="Times New Roman" w:hAnsi="Times New Roman"/>
          <w:sz w:val="24"/>
          <w:szCs w:val="24"/>
        </w:rPr>
        <w:t xml:space="preserve"> materials by which the students are evaluate</w:t>
      </w:r>
      <w:r>
        <w:rPr>
          <w:rFonts w:ascii="Times New Roman" w:hAnsi="Times New Roman"/>
          <w:sz w:val="24"/>
          <w:szCs w:val="24"/>
        </w:rPr>
        <w:t>d;</w:t>
      </w:r>
      <w:r w:rsidRPr="0094259E">
        <w:rPr>
          <w:rFonts w:ascii="Times New Roman" w:hAnsi="Times New Roman"/>
          <w:sz w:val="24"/>
          <w:szCs w:val="24"/>
        </w:rPr>
        <w:t xml:space="preserve"> </w:t>
      </w:r>
      <w:r w:rsidRPr="00095AF9">
        <w:rPr>
          <w:rFonts w:ascii="Times New Roman" w:hAnsi="Times New Roman"/>
          <w:sz w:val="24"/>
          <w:szCs w:val="24"/>
        </w:rPr>
        <w:t>supervising</w:t>
      </w:r>
      <w:r>
        <w:rPr>
          <w:rFonts w:ascii="Times New Roman" w:hAnsi="Times New Roman"/>
          <w:sz w:val="24"/>
          <w:szCs w:val="24"/>
        </w:rPr>
        <w:t xml:space="preserve"> students’</w:t>
      </w:r>
      <w:r w:rsidRPr="00095AF9">
        <w:rPr>
          <w:rFonts w:ascii="Times New Roman" w:hAnsi="Times New Roman"/>
          <w:sz w:val="24"/>
          <w:szCs w:val="24"/>
        </w:rPr>
        <w:t xml:space="preserve"> independent studies and journal notes</w:t>
      </w:r>
      <w:r>
        <w:rPr>
          <w:rFonts w:ascii="Times New Roman" w:hAnsi="Times New Roman"/>
          <w:sz w:val="24"/>
          <w:szCs w:val="24"/>
        </w:rPr>
        <w:t xml:space="preserve">; </w:t>
      </w:r>
      <w:r w:rsidRPr="0094259E">
        <w:rPr>
          <w:rFonts w:ascii="Times New Roman" w:hAnsi="Times New Roman"/>
          <w:sz w:val="24"/>
          <w:szCs w:val="24"/>
        </w:rPr>
        <w:t xml:space="preserve">and </w:t>
      </w:r>
      <w:r>
        <w:rPr>
          <w:rFonts w:ascii="Times New Roman" w:hAnsi="Times New Roman"/>
          <w:sz w:val="24"/>
          <w:szCs w:val="24"/>
        </w:rPr>
        <w:t>developing</w:t>
      </w:r>
      <w:r w:rsidRPr="0094259E">
        <w:rPr>
          <w:rFonts w:ascii="Times New Roman" w:hAnsi="Times New Roman"/>
          <w:sz w:val="24"/>
          <w:szCs w:val="24"/>
        </w:rPr>
        <w:t xml:space="preserve"> new courses and innovative pedagogical methods.</w:t>
      </w:r>
    </w:p>
    <w:p w14:paraId="4B46C732" w14:textId="224B916E" w:rsidR="008870E1" w:rsidRDefault="00C1733C" w:rsidP="002C7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Excellence in other professional responsibilities is demonstrated by supporting the College of Law’s goals and objectives</w:t>
      </w:r>
      <w:r w:rsidRPr="0094259E">
        <w:rPr>
          <w:rFonts w:ascii="Times New Roman" w:hAnsi="Times New Roman"/>
          <w:sz w:val="24"/>
          <w:szCs w:val="24"/>
        </w:rPr>
        <w:t xml:space="preserve"> </w:t>
      </w:r>
      <w:r>
        <w:rPr>
          <w:rFonts w:ascii="Times New Roman" w:hAnsi="Times New Roman"/>
          <w:sz w:val="24"/>
          <w:szCs w:val="24"/>
        </w:rPr>
        <w:t xml:space="preserve">by, for example, </w:t>
      </w:r>
      <w:r>
        <w:rPr>
          <w:rFonts w:ascii="Times New Roman" w:hAnsi="Times New Roman" w:cs="Times New Roman"/>
          <w:sz w:val="24"/>
          <w:szCs w:val="24"/>
        </w:rPr>
        <w:t>acting as a faculty supervisor for student organizations, coaching moot court teams, serving on college and university committees, when asked, participating in internal and external colloquia, and otherwise participating in the College of Law’s intellectual life.</w:t>
      </w:r>
    </w:p>
    <w:p w14:paraId="7C60F72E" w14:textId="77777777" w:rsidR="00315A4E" w:rsidRPr="002C755A" w:rsidRDefault="00315A4E" w:rsidP="00315A4E">
      <w:pPr>
        <w:rPr>
          <w:rFonts w:ascii="Times New Roman" w:hAnsi="Times New Roman" w:cs="Times New Roman"/>
          <w:sz w:val="24"/>
          <w:szCs w:val="24"/>
        </w:rPr>
      </w:pPr>
    </w:p>
    <w:sectPr w:rsidR="00315A4E" w:rsidRPr="002C755A" w:rsidSect="005157F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7ED42" w16cid:durableId="1EDDC240"/>
  <w16cid:commentId w16cid:paraId="2A870C91" w16cid:durableId="1EDDC24D"/>
  <w16cid:commentId w16cid:paraId="3F86A344" w16cid:durableId="1EDDC275"/>
  <w16cid:commentId w16cid:paraId="5E28646C" w16cid:durableId="1EDBDB55"/>
  <w16cid:commentId w16cid:paraId="4EA16A43" w16cid:durableId="1EDBDB56"/>
  <w16cid:commentId w16cid:paraId="36BFDD19" w16cid:durableId="1EDDC2EA"/>
  <w16cid:commentId w16cid:paraId="21765CD1" w16cid:durableId="1EDBDB57"/>
  <w16cid:commentId w16cid:paraId="6DE007C6" w16cid:durableId="1EDDC244"/>
  <w16cid:commentId w16cid:paraId="54D3748C" w16cid:durableId="1EDBDB58"/>
  <w16cid:commentId w16cid:paraId="40A1B8DB" w16cid:durableId="1EDDC246"/>
  <w16cid:commentId w16cid:paraId="0E868B66" w16cid:durableId="1EDDC33E"/>
  <w16cid:commentId w16cid:paraId="4E445346" w16cid:durableId="1EDDC387"/>
  <w16cid:commentId w16cid:paraId="4A102096" w16cid:durableId="1EDDC247"/>
  <w16cid:commentId w16cid:paraId="1BA870BE" w16cid:durableId="1EDDC3C4"/>
  <w16cid:commentId w16cid:paraId="20D92F50" w16cid:durableId="1EDDC248"/>
  <w16cid:commentId w16cid:paraId="4F2B08A8" w16cid:durableId="1EDBDB59"/>
  <w16cid:commentId w16cid:paraId="6D6F9156" w16cid:durableId="1EDDC24A"/>
  <w16cid:commentId w16cid:paraId="4E0C5114" w16cid:durableId="1EDDC648"/>
  <w16cid:commentId w16cid:paraId="40F80127" w16cid:durableId="1EDBDB5A"/>
  <w16cid:commentId w16cid:paraId="2EEC2360" w16cid:durableId="1EDDC7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9914" w14:textId="77777777" w:rsidR="00BF16FA" w:rsidRDefault="00BF16FA" w:rsidP="00D36AF0">
      <w:pPr>
        <w:spacing w:after="0" w:line="240" w:lineRule="auto"/>
      </w:pPr>
      <w:r>
        <w:separator/>
      </w:r>
    </w:p>
  </w:endnote>
  <w:endnote w:type="continuationSeparator" w:id="0">
    <w:p w14:paraId="632CEF78" w14:textId="77777777" w:rsidR="00BF16FA" w:rsidRDefault="00BF16FA" w:rsidP="00D3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5120D" w14:textId="77777777" w:rsidR="00BF16FA" w:rsidRDefault="00BF16FA" w:rsidP="00D36AF0">
      <w:pPr>
        <w:spacing w:after="0" w:line="240" w:lineRule="auto"/>
      </w:pPr>
      <w:r>
        <w:separator/>
      </w:r>
    </w:p>
  </w:footnote>
  <w:footnote w:type="continuationSeparator" w:id="0">
    <w:p w14:paraId="75589A9D" w14:textId="77777777" w:rsidR="00BF16FA" w:rsidRDefault="00BF16FA" w:rsidP="00D36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B77"/>
    <w:multiLevelType w:val="hybridMultilevel"/>
    <w:tmpl w:val="B4862F96"/>
    <w:lvl w:ilvl="0" w:tplc="1CC2B77C">
      <w:start w:val="1"/>
      <w:numFmt w:val="bullet"/>
      <w:lvlText w:val=""/>
      <w:lvlJc w:val="left"/>
      <w:pPr>
        <w:tabs>
          <w:tab w:val="num" w:pos="720"/>
        </w:tabs>
        <w:ind w:left="720" w:hanging="360"/>
      </w:pPr>
      <w:rPr>
        <w:rFonts w:ascii="Wingdings" w:hAnsi="Wingdings" w:hint="default"/>
      </w:rPr>
    </w:lvl>
    <w:lvl w:ilvl="1" w:tplc="C86A4784" w:tentative="1">
      <w:start w:val="1"/>
      <w:numFmt w:val="bullet"/>
      <w:lvlText w:val=""/>
      <w:lvlJc w:val="left"/>
      <w:pPr>
        <w:tabs>
          <w:tab w:val="num" w:pos="1440"/>
        </w:tabs>
        <w:ind w:left="1440" w:hanging="360"/>
      </w:pPr>
      <w:rPr>
        <w:rFonts w:ascii="Wingdings" w:hAnsi="Wingdings" w:hint="default"/>
      </w:rPr>
    </w:lvl>
    <w:lvl w:ilvl="2" w:tplc="EC1EEABC" w:tentative="1">
      <w:start w:val="1"/>
      <w:numFmt w:val="bullet"/>
      <w:lvlText w:val=""/>
      <w:lvlJc w:val="left"/>
      <w:pPr>
        <w:tabs>
          <w:tab w:val="num" w:pos="2160"/>
        </w:tabs>
        <w:ind w:left="2160" w:hanging="360"/>
      </w:pPr>
      <w:rPr>
        <w:rFonts w:ascii="Wingdings" w:hAnsi="Wingdings" w:hint="default"/>
      </w:rPr>
    </w:lvl>
    <w:lvl w:ilvl="3" w:tplc="D61CA0B6" w:tentative="1">
      <w:start w:val="1"/>
      <w:numFmt w:val="bullet"/>
      <w:lvlText w:val=""/>
      <w:lvlJc w:val="left"/>
      <w:pPr>
        <w:tabs>
          <w:tab w:val="num" w:pos="2880"/>
        </w:tabs>
        <w:ind w:left="2880" w:hanging="360"/>
      </w:pPr>
      <w:rPr>
        <w:rFonts w:ascii="Wingdings" w:hAnsi="Wingdings" w:hint="default"/>
      </w:rPr>
    </w:lvl>
    <w:lvl w:ilvl="4" w:tplc="0F1020A4" w:tentative="1">
      <w:start w:val="1"/>
      <w:numFmt w:val="bullet"/>
      <w:lvlText w:val=""/>
      <w:lvlJc w:val="left"/>
      <w:pPr>
        <w:tabs>
          <w:tab w:val="num" w:pos="3600"/>
        </w:tabs>
        <w:ind w:left="3600" w:hanging="360"/>
      </w:pPr>
      <w:rPr>
        <w:rFonts w:ascii="Wingdings" w:hAnsi="Wingdings" w:hint="default"/>
      </w:rPr>
    </w:lvl>
    <w:lvl w:ilvl="5" w:tplc="96641F90" w:tentative="1">
      <w:start w:val="1"/>
      <w:numFmt w:val="bullet"/>
      <w:lvlText w:val=""/>
      <w:lvlJc w:val="left"/>
      <w:pPr>
        <w:tabs>
          <w:tab w:val="num" w:pos="4320"/>
        </w:tabs>
        <w:ind w:left="4320" w:hanging="360"/>
      </w:pPr>
      <w:rPr>
        <w:rFonts w:ascii="Wingdings" w:hAnsi="Wingdings" w:hint="default"/>
      </w:rPr>
    </w:lvl>
    <w:lvl w:ilvl="6" w:tplc="3322F0C0" w:tentative="1">
      <w:start w:val="1"/>
      <w:numFmt w:val="bullet"/>
      <w:lvlText w:val=""/>
      <w:lvlJc w:val="left"/>
      <w:pPr>
        <w:tabs>
          <w:tab w:val="num" w:pos="5040"/>
        </w:tabs>
        <w:ind w:left="5040" w:hanging="360"/>
      </w:pPr>
      <w:rPr>
        <w:rFonts w:ascii="Wingdings" w:hAnsi="Wingdings" w:hint="default"/>
      </w:rPr>
    </w:lvl>
    <w:lvl w:ilvl="7" w:tplc="BD18DED6" w:tentative="1">
      <w:start w:val="1"/>
      <w:numFmt w:val="bullet"/>
      <w:lvlText w:val=""/>
      <w:lvlJc w:val="left"/>
      <w:pPr>
        <w:tabs>
          <w:tab w:val="num" w:pos="5760"/>
        </w:tabs>
        <w:ind w:left="5760" w:hanging="360"/>
      </w:pPr>
      <w:rPr>
        <w:rFonts w:ascii="Wingdings" w:hAnsi="Wingdings" w:hint="default"/>
      </w:rPr>
    </w:lvl>
    <w:lvl w:ilvl="8" w:tplc="3FAE7C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143B7"/>
    <w:multiLevelType w:val="hybridMultilevel"/>
    <w:tmpl w:val="FDC8934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D1F6F24"/>
    <w:multiLevelType w:val="hybridMultilevel"/>
    <w:tmpl w:val="2A184E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7C10E3"/>
    <w:multiLevelType w:val="hybridMultilevel"/>
    <w:tmpl w:val="04745322"/>
    <w:lvl w:ilvl="0" w:tplc="AF062338">
      <w:start w:val="1"/>
      <w:numFmt w:val="bullet"/>
      <w:lvlText w:val=""/>
      <w:lvlJc w:val="left"/>
      <w:pPr>
        <w:tabs>
          <w:tab w:val="num" w:pos="720"/>
        </w:tabs>
        <w:ind w:left="720" w:hanging="360"/>
      </w:pPr>
      <w:rPr>
        <w:rFonts w:ascii="Wingdings" w:hAnsi="Wingdings" w:hint="default"/>
      </w:rPr>
    </w:lvl>
    <w:lvl w:ilvl="1" w:tplc="637CF6D0" w:tentative="1">
      <w:start w:val="1"/>
      <w:numFmt w:val="bullet"/>
      <w:lvlText w:val=""/>
      <w:lvlJc w:val="left"/>
      <w:pPr>
        <w:tabs>
          <w:tab w:val="num" w:pos="1440"/>
        </w:tabs>
        <w:ind w:left="1440" w:hanging="360"/>
      </w:pPr>
      <w:rPr>
        <w:rFonts w:ascii="Wingdings" w:hAnsi="Wingdings" w:hint="default"/>
      </w:rPr>
    </w:lvl>
    <w:lvl w:ilvl="2" w:tplc="0AD63596" w:tentative="1">
      <w:start w:val="1"/>
      <w:numFmt w:val="bullet"/>
      <w:lvlText w:val=""/>
      <w:lvlJc w:val="left"/>
      <w:pPr>
        <w:tabs>
          <w:tab w:val="num" w:pos="2160"/>
        </w:tabs>
        <w:ind w:left="2160" w:hanging="360"/>
      </w:pPr>
      <w:rPr>
        <w:rFonts w:ascii="Wingdings" w:hAnsi="Wingdings" w:hint="default"/>
      </w:rPr>
    </w:lvl>
    <w:lvl w:ilvl="3" w:tplc="3EE42818" w:tentative="1">
      <w:start w:val="1"/>
      <w:numFmt w:val="bullet"/>
      <w:lvlText w:val=""/>
      <w:lvlJc w:val="left"/>
      <w:pPr>
        <w:tabs>
          <w:tab w:val="num" w:pos="2880"/>
        </w:tabs>
        <w:ind w:left="2880" w:hanging="360"/>
      </w:pPr>
      <w:rPr>
        <w:rFonts w:ascii="Wingdings" w:hAnsi="Wingdings" w:hint="default"/>
      </w:rPr>
    </w:lvl>
    <w:lvl w:ilvl="4" w:tplc="6BDC4F32" w:tentative="1">
      <w:start w:val="1"/>
      <w:numFmt w:val="bullet"/>
      <w:lvlText w:val=""/>
      <w:lvlJc w:val="left"/>
      <w:pPr>
        <w:tabs>
          <w:tab w:val="num" w:pos="3600"/>
        </w:tabs>
        <w:ind w:left="3600" w:hanging="360"/>
      </w:pPr>
      <w:rPr>
        <w:rFonts w:ascii="Wingdings" w:hAnsi="Wingdings" w:hint="default"/>
      </w:rPr>
    </w:lvl>
    <w:lvl w:ilvl="5" w:tplc="ABD6AB1C" w:tentative="1">
      <w:start w:val="1"/>
      <w:numFmt w:val="bullet"/>
      <w:lvlText w:val=""/>
      <w:lvlJc w:val="left"/>
      <w:pPr>
        <w:tabs>
          <w:tab w:val="num" w:pos="4320"/>
        </w:tabs>
        <w:ind w:left="4320" w:hanging="360"/>
      </w:pPr>
      <w:rPr>
        <w:rFonts w:ascii="Wingdings" w:hAnsi="Wingdings" w:hint="default"/>
      </w:rPr>
    </w:lvl>
    <w:lvl w:ilvl="6" w:tplc="052E27EA" w:tentative="1">
      <w:start w:val="1"/>
      <w:numFmt w:val="bullet"/>
      <w:lvlText w:val=""/>
      <w:lvlJc w:val="left"/>
      <w:pPr>
        <w:tabs>
          <w:tab w:val="num" w:pos="5040"/>
        </w:tabs>
        <w:ind w:left="5040" w:hanging="360"/>
      </w:pPr>
      <w:rPr>
        <w:rFonts w:ascii="Wingdings" w:hAnsi="Wingdings" w:hint="default"/>
      </w:rPr>
    </w:lvl>
    <w:lvl w:ilvl="7" w:tplc="981AADC6" w:tentative="1">
      <w:start w:val="1"/>
      <w:numFmt w:val="bullet"/>
      <w:lvlText w:val=""/>
      <w:lvlJc w:val="left"/>
      <w:pPr>
        <w:tabs>
          <w:tab w:val="num" w:pos="5760"/>
        </w:tabs>
        <w:ind w:left="5760" w:hanging="360"/>
      </w:pPr>
      <w:rPr>
        <w:rFonts w:ascii="Wingdings" w:hAnsi="Wingdings" w:hint="default"/>
      </w:rPr>
    </w:lvl>
    <w:lvl w:ilvl="8" w:tplc="1D70C1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0947C0"/>
    <w:multiLevelType w:val="hybridMultilevel"/>
    <w:tmpl w:val="76202B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CE"/>
    <w:rsid w:val="00004132"/>
    <w:rsid w:val="00011D6A"/>
    <w:rsid w:val="00021D27"/>
    <w:rsid w:val="000A223A"/>
    <w:rsid w:val="000C13D6"/>
    <w:rsid w:val="000F24DA"/>
    <w:rsid w:val="001A347F"/>
    <w:rsid w:val="001A7206"/>
    <w:rsid w:val="001E6A5D"/>
    <w:rsid w:val="001F1013"/>
    <w:rsid w:val="001F4ACC"/>
    <w:rsid w:val="0022018D"/>
    <w:rsid w:val="00234BDF"/>
    <w:rsid w:val="00281622"/>
    <w:rsid w:val="002A6E34"/>
    <w:rsid w:val="002A733D"/>
    <w:rsid w:val="002C755A"/>
    <w:rsid w:val="003049E3"/>
    <w:rsid w:val="00315A4E"/>
    <w:rsid w:val="0037485E"/>
    <w:rsid w:val="003860BD"/>
    <w:rsid w:val="003A3202"/>
    <w:rsid w:val="003E1B60"/>
    <w:rsid w:val="004242D3"/>
    <w:rsid w:val="00452208"/>
    <w:rsid w:val="004A39DF"/>
    <w:rsid w:val="004C16ED"/>
    <w:rsid w:val="004C4335"/>
    <w:rsid w:val="00512E59"/>
    <w:rsid w:val="005157F1"/>
    <w:rsid w:val="00520939"/>
    <w:rsid w:val="005577C9"/>
    <w:rsid w:val="00576DDB"/>
    <w:rsid w:val="005F398D"/>
    <w:rsid w:val="00602F11"/>
    <w:rsid w:val="006925E3"/>
    <w:rsid w:val="00692712"/>
    <w:rsid w:val="006C0F3D"/>
    <w:rsid w:val="006F3579"/>
    <w:rsid w:val="00702E7B"/>
    <w:rsid w:val="00705C2B"/>
    <w:rsid w:val="00761B68"/>
    <w:rsid w:val="00772CC9"/>
    <w:rsid w:val="00781E76"/>
    <w:rsid w:val="007E1EDB"/>
    <w:rsid w:val="007F7F41"/>
    <w:rsid w:val="008238D5"/>
    <w:rsid w:val="008870E1"/>
    <w:rsid w:val="008901CE"/>
    <w:rsid w:val="008B19A9"/>
    <w:rsid w:val="008D0B15"/>
    <w:rsid w:val="0094259E"/>
    <w:rsid w:val="009518FC"/>
    <w:rsid w:val="00965B32"/>
    <w:rsid w:val="009A1DBD"/>
    <w:rsid w:val="009D6AD1"/>
    <w:rsid w:val="009E576F"/>
    <w:rsid w:val="00A20C3B"/>
    <w:rsid w:val="00A814EC"/>
    <w:rsid w:val="00A90B17"/>
    <w:rsid w:val="00AB2F79"/>
    <w:rsid w:val="00AD23D4"/>
    <w:rsid w:val="00AF5172"/>
    <w:rsid w:val="00B10623"/>
    <w:rsid w:val="00B37E01"/>
    <w:rsid w:val="00B46C91"/>
    <w:rsid w:val="00B75EF1"/>
    <w:rsid w:val="00B91E68"/>
    <w:rsid w:val="00BD5532"/>
    <w:rsid w:val="00BE4988"/>
    <w:rsid w:val="00BE59B1"/>
    <w:rsid w:val="00BF16FA"/>
    <w:rsid w:val="00BF49B6"/>
    <w:rsid w:val="00C145F8"/>
    <w:rsid w:val="00C1733C"/>
    <w:rsid w:val="00C31E6C"/>
    <w:rsid w:val="00C366F0"/>
    <w:rsid w:val="00CD11FE"/>
    <w:rsid w:val="00CD1B1E"/>
    <w:rsid w:val="00D36AF0"/>
    <w:rsid w:val="00D561FA"/>
    <w:rsid w:val="00D61206"/>
    <w:rsid w:val="00D821D2"/>
    <w:rsid w:val="00D95BD4"/>
    <w:rsid w:val="00E05A68"/>
    <w:rsid w:val="00E3736C"/>
    <w:rsid w:val="00E44873"/>
    <w:rsid w:val="00E5549A"/>
    <w:rsid w:val="00E90664"/>
    <w:rsid w:val="00EA2AE0"/>
    <w:rsid w:val="00EB4AB2"/>
    <w:rsid w:val="00F80DD2"/>
    <w:rsid w:val="00FD5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9A2A1"/>
  <w15:docId w15:val="{E3AF220C-384A-492B-A5C0-A8A44CCF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CE"/>
    <w:pPr>
      <w:ind w:left="720"/>
      <w:contextualSpacing/>
    </w:pPr>
  </w:style>
  <w:style w:type="character" w:styleId="CommentReference">
    <w:name w:val="annotation reference"/>
    <w:basedOn w:val="DefaultParagraphFont"/>
    <w:uiPriority w:val="99"/>
    <w:semiHidden/>
    <w:unhideWhenUsed/>
    <w:rsid w:val="005F398D"/>
    <w:rPr>
      <w:sz w:val="16"/>
      <w:szCs w:val="16"/>
    </w:rPr>
  </w:style>
  <w:style w:type="paragraph" w:styleId="CommentText">
    <w:name w:val="annotation text"/>
    <w:basedOn w:val="Normal"/>
    <w:link w:val="CommentTextChar"/>
    <w:uiPriority w:val="99"/>
    <w:semiHidden/>
    <w:unhideWhenUsed/>
    <w:rsid w:val="005F398D"/>
    <w:pPr>
      <w:spacing w:line="240" w:lineRule="auto"/>
    </w:pPr>
    <w:rPr>
      <w:sz w:val="20"/>
      <w:szCs w:val="20"/>
    </w:rPr>
  </w:style>
  <w:style w:type="character" w:customStyle="1" w:styleId="CommentTextChar">
    <w:name w:val="Comment Text Char"/>
    <w:basedOn w:val="DefaultParagraphFont"/>
    <w:link w:val="CommentText"/>
    <w:uiPriority w:val="99"/>
    <w:semiHidden/>
    <w:rsid w:val="005F398D"/>
    <w:rPr>
      <w:sz w:val="20"/>
      <w:szCs w:val="20"/>
    </w:rPr>
  </w:style>
  <w:style w:type="paragraph" w:styleId="CommentSubject">
    <w:name w:val="annotation subject"/>
    <w:basedOn w:val="CommentText"/>
    <w:next w:val="CommentText"/>
    <w:link w:val="CommentSubjectChar"/>
    <w:uiPriority w:val="99"/>
    <w:semiHidden/>
    <w:unhideWhenUsed/>
    <w:rsid w:val="005F398D"/>
    <w:rPr>
      <w:b/>
      <w:bCs/>
    </w:rPr>
  </w:style>
  <w:style w:type="character" w:customStyle="1" w:styleId="CommentSubjectChar">
    <w:name w:val="Comment Subject Char"/>
    <w:basedOn w:val="CommentTextChar"/>
    <w:link w:val="CommentSubject"/>
    <w:uiPriority w:val="99"/>
    <w:semiHidden/>
    <w:rsid w:val="005F398D"/>
    <w:rPr>
      <w:b/>
      <w:bCs/>
      <w:sz w:val="20"/>
      <w:szCs w:val="20"/>
    </w:rPr>
  </w:style>
  <w:style w:type="paragraph" w:styleId="BalloonText">
    <w:name w:val="Balloon Text"/>
    <w:basedOn w:val="Normal"/>
    <w:link w:val="BalloonTextChar"/>
    <w:uiPriority w:val="99"/>
    <w:semiHidden/>
    <w:unhideWhenUsed/>
    <w:rsid w:val="005F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8D"/>
    <w:rPr>
      <w:rFonts w:ascii="Tahoma" w:hAnsi="Tahoma" w:cs="Tahoma"/>
      <w:sz w:val="16"/>
      <w:szCs w:val="16"/>
    </w:rPr>
  </w:style>
  <w:style w:type="paragraph" w:styleId="Revision">
    <w:name w:val="Revision"/>
    <w:hidden/>
    <w:uiPriority w:val="99"/>
    <w:semiHidden/>
    <w:rsid w:val="00C145F8"/>
    <w:pPr>
      <w:spacing w:after="0" w:line="240" w:lineRule="auto"/>
    </w:pPr>
  </w:style>
  <w:style w:type="table" w:styleId="TableGrid">
    <w:name w:val="Table Grid"/>
    <w:basedOn w:val="TableNormal"/>
    <w:uiPriority w:val="59"/>
    <w:rsid w:val="00EB4A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A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B4AB2"/>
    <w:rPr>
      <w:rFonts w:eastAsiaTheme="minorHAnsi"/>
    </w:rPr>
  </w:style>
  <w:style w:type="paragraph" w:styleId="Footer">
    <w:name w:val="footer"/>
    <w:basedOn w:val="Normal"/>
    <w:link w:val="FooterChar"/>
    <w:uiPriority w:val="99"/>
    <w:unhideWhenUsed/>
    <w:rsid w:val="00EB4A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B4AB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8011">
      <w:bodyDiv w:val="1"/>
      <w:marLeft w:val="0"/>
      <w:marRight w:val="0"/>
      <w:marTop w:val="0"/>
      <w:marBottom w:val="0"/>
      <w:divBdr>
        <w:top w:val="none" w:sz="0" w:space="0" w:color="auto"/>
        <w:left w:val="none" w:sz="0" w:space="0" w:color="auto"/>
        <w:bottom w:val="none" w:sz="0" w:space="0" w:color="auto"/>
        <w:right w:val="none" w:sz="0" w:space="0" w:color="auto"/>
      </w:divBdr>
      <w:divsChild>
        <w:div w:id="865102404">
          <w:marLeft w:val="547"/>
          <w:marRight w:val="0"/>
          <w:marTop w:val="154"/>
          <w:marBottom w:val="0"/>
          <w:divBdr>
            <w:top w:val="none" w:sz="0" w:space="0" w:color="auto"/>
            <w:left w:val="none" w:sz="0" w:space="0" w:color="auto"/>
            <w:bottom w:val="none" w:sz="0" w:space="0" w:color="auto"/>
            <w:right w:val="none" w:sz="0" w:space="0" w:color="auto"/>
          </w:divBdr>
        </w:div>
      </w:divsChild>
    </w:div>
    <w:div w:id="2078893706">
      <w:bodyDiv w:val="1"/>
      <w:marLeft w:val="0"/>
      <w:marRight w:val="0"/>
      <w:marTop w:val="0"/>
      <w:marBottom w:val="0"/>
      <w:divBdr>
        <w:top w:val="none" w:sz="0" w:space="0" w:color="auto"/>
        <w:left w:val="none" w:sz="0" w:space="0" w:color="auto"/>
        <w:bottom w:val="none" w:sz="0" w:space="0" w:color="auto"/>
        <w:right w:val="none" w:sz="0" w:space="0" w:color="auto"/>
      </w:divBdr>
      <w:divsChild>
        <w:div w:id="12812988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3C8E-8D43-4444-954C-5DC87DC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Sandra Day O 'Connor College of Law</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Hinshaw</dc:creator>
  <cp:lastModifiedBy>Katherine Sackman</cp:lastModifiedBy>
  <cp:revision>3</cp:revision>
  <cp:lastPrinted>2015-03-04T02:21:00Z</cp:lastPrinted>
  <dcterms:created xsi:type="dcterms:W3CDTF">2019-01-28T18:25:00Z</dcterms:created>
  <dcterms:modified xsi:type="dcterms:W3CDTF">2019-01-28T18:26:00Z</dcterms:modified>
</cp:coreProperties>
</file>