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D5DA" w14:textId="77777777" w:rsidR="00B1390B" w:rsidRPr="00B1390B" w:rsidRDefault="00B1390B" w:rsidP="00B1390B">
      <w:pPr>
        <w:rPr>
          <w:b/>
          <w:bCs/>
        </w:rPr>
      </w:pPr>
      <w:r w:rsidRPr="00B1390B">
        <w:rPr>
          <w:b/>
          <w:bCs/>
        </w:rPr>
        <w:t>College of Liberal Arts &amp; Sciences</w:t>
      </w:r>
    </w:p>
    <w:p w14:paraId="1604EFC7" w14:textId="600734CF" w:rsidR="00B1390B" w:rsidRPr="00B1390B" w:rsidRDefault="00B1390B" w:rsidP="00B1390B">
      <w:pPr>
        <w:rPr>
          <w:b/>
          <w:bCs/>
        </w:rPr>
      </w:pPr>
      <w:r w:rsidRPr="00B1390B">
        <w:rPr>
          <w:b/>
          <w:bCs/>
        </w:rPr>
        <w:t xml:space="preserve">Criteria for fixed-term promotion </w:t>
      </w:r>
    </w:p>
    <w:p w14:paraId="566F6821" w14:textId="335EEC7A" w:rsidR="00B1390B" w:rsidRPr="00B1390B" w:rsidRDefault="00B1390B" w:rsidP="00B1390B">
      <w:pPr>
        <w:rPr>
          <w:b/>
          <w:bCs/>
        </w:rPr>
      </w:pPr>
      <w:r w:rsidRPr="00B1390B">
        <w:rPr>
          <w:b/>
          <w:bCs/>
        </w:rPr>
        <w:t>School of Geographical Sciences and Urban Planning</w:t>
      </w:r>
    </w:p>
    <w:p w14:paraId="0AFA94BB" w14:textId="77777777" w:rsidR="00B1390B" w:rsidRPr="00B1390B" w:rsidRDefault="00B1390B" w:rsidP="00B1390B">
      <w:pPr>
        <w:rPr>
          <w:b/>
          <w:bCs/>
        </w:rPr>
      </w:pPr>
    </w:p>
    <w:p w14:paraId="4A287C23" w14:textId="4E1AFB9B" w:rsidR="00B1390B" w:rsidRPr="00B1390B" w:rsidRDefault="00B1390B" w:rsidP="00B1390B">
      <w:pPr>
        <w:rPr>
          <w:bCs/>
        </w:rPr>
      </w:pPr>
      <w:r w:rsidRPr="00B1390B">
        <w:rPr>
          <w:bCs/>
        </w:rPr>
        <w:t xml:space="preserve">Approved by the </w:t>
      </w:r>
      <w:r>
        <w:rPr>
          <w:bCs/>
        </w:rPr>
        <w:t>dean on October 13, 2015</w:t>
      </w:r>
    </w:p>
    <w:p w14:paraId="0E2F1905" w14:textId="77777777" w:rsidR="00B1390B" w:rsidRPr="00B1390B" w:rsidRDefault="00B1390B" w:rsidP="00B1390B">
      <w:pPr>
        <w:rPr>
          <w:bCs/>
        </w:rPr>
      </w:pPr>
      <w:r w:rsidRPr="00B1390B">
        <w:rPr>
          <w:bCs/>
        </w:rPr>
        <w:t>Approved by the faculty assembly of the school on (will present to the faculty for approval once any provost changes are made)</w:t>
      </w:r>
    </w:p>
    <w:p w14:paraId="2FC3A766" w14:textId="77777777" w:rsidR="00B1390B" w:rsidRDefault="00B1390B" w:rsidP="00B1390B">
      <w:pPr>
        <w:rPr>
          <w:b/>
        </w:rPr>
      </w:pPr>
    </w:p>
    <w:p w14:paraId="7FF9BBAF" w14:textId="77777777" w:rsidR="00B1390B" w:rsidRDefault="00B1390B" w:rsidP="00094263">
      <w:pPr>
        <w:jc w:val="center"/>
        <w:rPr>
          <w:b/>
        </w:rPr>
      </w:pPr>
    </w:p>
    <w:p w14:paraId="7C333F3F" w14:textId="77777777" w:rsidR="00B1390B" w:rsidRDefault="00B1390B" w:rsidP="00094263">
      <w:pPr>
        <w:jc w:val="center"/>
        <w:rPr>
          <w:b/>
        </w:rPr>
      </w:pPr>
    </w:p>
    <w:p w14:paraId="550E6133" w14:textId="77777777" w:rsidR="00B1390B" w:rsidRDefault="00B1390B" w:rsidP="00094263">
      <w:pPr>
        <w:jc w:val="center"/>
        <w:rPr>
          <w:b/>
        </w:rPr>
      </w:pPr>
    </w:p>
    <w:p w14:paraId="23B3D166" w14:textId="77777777" w:rsidR="00B1390B" w:rsidRDefault="00B1390B" w:rsidP="00094263">
      <w:pPr>
        <w:jc w:val="center"/>
        <w:rPr>
          <w:b/>
        </w:rPr>
      </w:pPr>
    </w:p>
    <w:p w14:paraId="4474F0CC" w14:textId="77777777" w:rsidR="00B1390B" w:rsidRDefault="00B1390B" w:rsidP="00094263">
      <w:pPr>
        <w:jc w:val="center"/>
        <w:rPr>
          <w:b/>
        </w:rPr>
      </w:pPr>
    </w:p>
    <w:p w14:paraId="5546AB88" w14:textId="77777777" w:rsidR="00B1390B" w:rsidRDefault="00B1390B" w:rsidP="00094263">
      <w:pPr>
        <w:jc w:val="center"/>
        <w:rPr>
          <w:b/>
        </w:rPr>
      </w:pPr>
    </w:p>
    <w:p w14:paraId="132F700D" w14:textId="77777777" w:rsidR="00B1390B" w:rsidRDefault="00B1390B" w:rsidP="00094263">
      <w:pPr>
        <w:jc w:val="center"/>
        <w:rPr>
          <w:b/>
        </w:rPr>
      </w:pPr>
    </w:p>
    <w:p w14:paraId="1DEA6EED" w14:textId="77777777" w:rsidR="00B1390B" w:rsidRDefault="00B1390B" w:rsidP="00094263">
      <w:pPr>
        <w:jc w:val="center"/>
        <w:rPr>
          <w:b/>
        </w:rPr>
      </w:pPr>
    </w:p>
    <w:p w14:paraId="45AE4986" w14:textId="77777777" w:rsidR="00B1390B" w:rsidRDefault="00B1390B" w:rsidP="00094263">
      <w:pPr>
        <w:jc w:val="center"/>
        <w:rPr>
          <w:b/>
        </w:rPr>
      </w:pPr>
    </w:p>
    <w:p w14:paraId="4A4761D6" w14:textId="77777777" w:rsidR="00B1390B" w:rsidRDefault="00B1390B" w:rsidP="00094263">
      <w:pPr>
        <w:jc w:val="center"/>
        <w:rPr>
          <w:b/>
        </w:rPr>
      </w:pPr>
    </w:p>
    <w:p w14:paraId="2F812583" w14:textId="77777777" w:rsidR="00B1390B" w:rsidRDefault="00B1390B" w:rsidP="00094263">
      <w:pPr>
        <w:jc w:val="center"/>
        <w:rPr>
          <w:b/>
        </w:rPr>
      </w:pPr>
    </w:p>
    <w:p w14:paraId="0888D31B" w14:textId="77777777" w:rsidR="00B1390B" w:rsidRDefault="00B1390B" w:rsidP="00094263">
      <w:pPr>
        <w:jc w:val="center"/>
        <w:rPr>
          <w:b/>
        </w:rPr>
      </w:pPr>
    </w:p>
    <w:p w14:paraId="04177559" w14:textId="77777777" w:rsidR="00B1390B" w:rsidRDefault="00B1390B" w:rsidP="00094263">
      <w:pPr>
        <w:jc w:val="center"/>
        <w:rPr>
          <w:b/>
        </w:rPr>
      </w:pPr>
    </w:p>
    <w:p w14:paraId="12FD9633" w14:textId="77777777" w:rsidR="00B1390B" w:rsidRDefault="00B1390B" w:rsidP="00094263">
      <w:pPr>
        <w:jc w:val="center"/>
        <w:rPr>
          <w:b/>
        </w:rPr>
      </w:pPr>
    </w:p>
    <w:p w14:paraId="2577E537" w14:textId="77777777" w:rsidR="00B1390B" w:rsidRDefault="00B1390B" w:rsidP="00094263">
      <w:pPr>
        <w:jc w:val="center"/>
        <w:rPr>
          <w:b/>
        </w:rPr>
      </w:pPr>
    </w:p>
    <w:p w14:paraId="03A13BC9" w14:textId="77777777" w:rsidR="00B1390B" w:rsidRDefault="00B1390B" w:rsidP="00094263">
      <w:pPr>
        <w:jc w:val="center"/>
        <w:rPr>
          <w:b/>
        </w:rPr>
      </w:pPr>
    </w:p>
    <w:p w14:paraId="5B7F4876" w14:textId="77777777" w:rsidR="00B1390B" w:rsidRDefault="00B1390B" w:rsidP="00094263">
      <w:pPr>
        <w:jc w:val="center"/>
        <w:rPr>
          <w:b/>
        </w:rPr>
      </w:pPr>
    </w:p>
    <w:p w14:paraId="3D0BCAC8" w14:textId="77777777" w:rsidR="00B1390B" w:rsidRDefault="00B1390B" w:rsidP="00094263">
      <w:pPr>
        <w:jc w:val="center"/>
        <w:rPr>
          <w:b/>
        </w:rPr>
      </w:pPr>
    </w:p>
    <w:p w14:paraId="086F346D" w14:textId="77777777" w:rsidR="00B1390B" w:rsidRDefault="00B1390B" w:rsidP="00094263">
      <w:pPr>
        <w:jc w:val="center"/>
        <w:rPr>
          <w:b/>
        </w:rPr>
      </w:pPr>
    </w:p>
    <w:p w14:paraId="2D3ADDF0" w14:textId="77777777" w:rsidR="00B1390B" w:rsidRDefault="00B1390B" w:rsidP="00094263">
      <w:pPr>
        <w:jc w:val="center"/>
        <w:rPr>
          <w:b/>
        </w:rPr>
      </w:pPr>
    </w:p>
    <w:p w14:paraId="46611DB3" w14:textId="77777777" w:rsidR="00B1390B" w:rsidRDefault="00B1390B" w:rsidP="00094263">
      <w:pPr>
        <w:jc w:val="center"/>
        <w:rPr>
          <w:b/>
        </w:rPr>
      </w:pPr>
    </w:p>
    <w:p w14:paraId="16BD29E1" w14:textId="77777777" w:rsidR="00B1390B" w:rsidRDefault="00B1390B" w:rsidP="00094263">
      <w:pPr>
        <w:jc w:val="center"/>
        <w:rPr>
          <w:b/>
        </w:rPr>
      </w:pPr>
    </w:p>
    <w:p w14:paraId="71FC6C02" w14:textId="77777777" w:rsidR="00B1390B" w:rsidRDefault="00B1390B" w:rsidP="00094263">
      <w:pPr>
        <w:jc w:val="center"/>
        <w:rPr>
          <w:b/>
        </w:rPr>
      </w:pPr>
    </w:p>
    <w:p w14:paraId="7BC88FAB" w14:textId="77777777" w:rsidR="00B1390B" w:rsidRDefault="00B1390B" w:rsidP="00094263">
      <w:pPr>
        <w:jc w:val="center"/>
        <w:rPr>
          <w:b/>
        </w:rPr>
      </w:pPr>
    </w:p>
    <w:p w14:paraId="583C9891" w14:textId="77777777" w:rsidR="00B1390B" w:rsidRDefault="00B1390B" w:rsidP="00094263">
      <w:pPr>
        <w:jc w:val="center"/>
        <w:rPr>
          <w:b/>
        </w:rPr>
      </w:pPr>
    </w:p>
    <w:p w14:paraId="27B5DFD9" w14:textId="77777777" w:rsidR="00B1390B" w:rsidRDefault="00B1390B" w:rsidP="00094263">
      <w:pPr>
        <w:jc w:val="center"/>
        <w:rPr>
          <w:b/>
        </w:rPr>
      </w:pPr>
    </w:p>
    <w:p w14:paraId="07595443" w14:textId="77777777" w:rsidR="00B1390B" w:rsidRDefault="00B1390B" w:rsidP="00094263">
      <w:pPr>
        <w:jc w:val="center"/>
        <w:rPr>
          <w:b/>
        </w:rPr>
      </w:pPr>
    </w:p>
    <w:p w14:paraId="09024C4F" w14:textId="77777777" w:rsidR="00B1390B" w:rsidRDefault="00B1390B" w:rsidP="00094263">
      <w:pPr>
        <w:jc w:val="center"/>
        <w:rPr>
          <w:b/>
        </w:rPr>
      </w:pPr>
    </w:p>
    <w:p w14:paraId="38362E7E" w14:textId="77777777" w:rsidR="00B1390B" w:rsidRDefault="00B1390B" w:rsidP="00094263">
      <w:pPr>
        <w:jc w:val="center"/>
        <w:rPr>
          <w:b/>
        </w:rPr>
      </w:pPr>
    </w:p>
    <w:p w14:paraId="11A26FAB" w14:textId="77777777" w:rsidR="00B1390B" w:rsidRDefault="00B1390B" w:rsidP="00094263">
      <w:pPr>
        <w:jc w:val="center"/>
        <w:rPr>
          <w:b/>
        </w:rPr>
      </w:pPr>
    </w:p>
    <w:p w14:paraId="1FA2A912" w14:textId="77777777" w:rsidR="00B1390B" w:rsidRDefault="00B1390B" w:rsidP="00094263">
      <w:pPr>
        <w:jc w:val="center"/>
        <w:rPr>
          <w:b/>
        </w:rPr>
      </w:pPr>
    </w:p>
    <w:p w14:paraId="3E3CE8FD" w14:textId="77777777" w:rsidR="00B1390B" w:rsidRDefault="00B1390B" w:rsidP="00094263">
      <w:pPr>
        <w:jc w:val="center"/>
        <w:rPr>
          <w:b/>
        </w:rPr>
      </w:pPr>
    </w:p>
    <w:p w14:paraId="41C2F665" w14:textId="77777777" w:rsidR="00B1390B" w:rsidRDefault="00B1390B" w:rsidP="00094263">
      <w:pPr>
        <w:jc w:val="center"/>
        <w:rPr>
          <w:b/>
        </w:rPr>
      </w:pPr>
    </w:p>
    <w:p w14:paraId="6F735B47" w14:textId="77777777" w:rsidR="00B1390B" w:rsidRDefault="00B1390B" w:rsidP="00094263">
      <w:pPr>
        <w:jc w:val="center"/>
        <w:rPr>
          <w:b/>
        </w:rPr>
      </w:pPr>
    </w:p>
    <w:p w14:paraId="3781A3C9" w14:textId="77777777" w:rsidR="00B1390B" w:rsidRDefault="00B1390B" w:rsidP="00094263">
      <w:pPr>
        <w:jc w:val="center"/>
        <w:rPr>
          <w:b/>
        </w:rPr>
      </w:pPr>
    </w:p>
    <w:p w14:paraId="03752C91" w14:textId="77777777" w:rsidR="00B1390B" w:rsidRDefault="00B1390B" w:rsidP="00094263">
      <w:pPr>
        <w:jc w:val="center"/>
        <w:rPr>
          <w:b/>
        </w:rPr>
      </w:pPr>
    </w:p>
    <w:p w14:paraId="413B6249" w14:textId="77777777" w:rsidR="00B1390B" w:rsidRDefault="00B1390B" w:rsidP="00094263">
      <w:pPr>
        <w:jc w:val="center"/>
        <w:rPr>
          <w:b/>
        </w:rPr>
      </w:pPr>
    </w:p>
    <w:p w14:paraId="1E36596C" w14:textId="77777777" w:rsidR="00B1390B" w:rsidRDefault="00B1390B" w:rsidP="00094263">
      <w:pPr>
        <w:jc w:val="center"/>
        <w:rPr>
          <w:b/>
        </w:rPr>
      </w:pPr>
    </w:p>
    <w:p w14:paraId="261141FA" w14:textId="77777777" w:rsidR="00B1390B" w:rsidRDefault="00B1390B" w:rsidP="00094263">
      <w:pPr>
        <w:jc w:val="center"/>
        <w:rPr>
          <w:b/>
        </w:rPr>
      </w:pPr>
    </w:p>
    <w:p w14:paraId="7F1CE111" w14:textId="77777777" w:rsidR="00B1390B" w:rsidRDefault="00B1390B" w:rsidP="00094263">
      <w:pPr>
        <w:jc w:val="center"/>
        <w:rPr>
          <w:b/>
        </w:rPr>
      </w:pPr>
    </w:p>
    <w:p w14:paraId="11F353CC" w14:textId="77777777" w:rsidR="00B1390B" w:rsidRDefault="00B1390B" w:rsidP="00094263">
      <w:pPr>
        <w:jc w:val="center"/>
        <w:rPr>
          <w:b/>
        </w:rPr>
      </w:pPr>
    </w:p>
    <w:p w14:paraId="2AA21B4B" w14:textId="77777777" w:rsidR="00B1390B" w:rsidRDefault="00B1390B" w:rsidP="00094263">
      <w:pPr>
        <w:jc w:val="center"/>
        <w:rPr>
          <w:b/>
        </w:rPr>
      </w:pPr>
    </w:p>
    <w:p w14:paraId="27FDC352" w14:textId="77777777" w:rsidR="00B1390B" w:rsidRDefault="00B1390B" w:rsidP="00094263">
      <w:pPr>
        <w:jc w:val="center"/>
        <w:rPr>
          <w:b/>
        </w:rPr>
      </w:pPr>
    </w:p>
    <w:p w14:paraId="7550EF35" w14:textId="6027E330" w:rsidR="00B831B7" w:rsidRPr="003E0D44" w:rsidRDefault="00B831B7" w:rsidP="00094263">
      <w:pPr>
        <w:jc w:val="center"/>
        <w:rPr>
          <w:b/>
        </w:rPr>
      </w:pPr>
      <w:r w:rsidRPr="003E0D44">
        <w:rPr>
          <w:b/>
        </w:rPr>
        <w:t>School of Geographical Sciences and Urban Planning</w:t>
      </w:r>
    </w:p>
    <w:p w14:paraId="3CF5B519" w14:textId="3EE26DEF" w:rsidR="00B831B7" w:rsidRPr="003E0D44" w:rsidRDefault="00B831B7" w:rsidP="00094263">
      <w:pPr>
        <w:jc w:val="center"/>
        <w:rPr>
          <w:b/>
        </w:rPr>
      </w:pPr>
      <w:r w:rsidRPr="003E0D44">
        <w:rPr>
          <w:b/>
        </w:rPr>
        <w:t>Policies and Procedures</w:t>
      </w:r>
      <w:r w:rsidR="002551C0">
        <w:rPr>
          <w:b/>
        </w:rPr>
        <w:t xml:space="preserve"> </w:t>
      </w:r>
      <w:r w:rsidR="002551C0" w:rsidRPr="002551C0">
        <w:rPr>
          <w:b/>
          <w:color w:val="FF0000"/>
        </w:rPr>
        <w:t>(Fixed-term</w:t>
      </w:r>
      <w:r w:rsidR="00B1390B">
        <w:rPr>
          <w:b/>
          <w:color w:val="FF0000"/>
        </w:rPr>
        <w:t xml:space="preserve"> section</w:t>
      </w:r>
      <w:r w:rsidR="002551C0" w:rsidRPr="002551C0">
        <w:rPr>
          <w:b/>
          <w:color w:val="FF0000"/>
        </w:rPr>
        <w:t>)</w:t>
      </w:r>
    </w:p>
    <w:p w14:paraId="393148D7" w14:textId="77777777" w:rsidR="00B831B7" w:rsidRDefault="00B831B7" w:rsidP="00094263">
      <w:pPr>
        <w:jc w:val="center"/>
      </w:pPr>
    </w:p>
    <w:p w14:paraId="32C421E5" w14:textId="77777777" w:rsidR="00B831B7" w:rsidRDefault="00B831B7" w:rsidP="00094263">
      <w:pPr>
        <w:jc w:val="center"/>
      </w:pPr>
      <w:r>
        <w:t>DRAFT 7/27/09, Revised 11/12/09, Revis</w:t>
      </w:r>
      <w:r w:rsidR="00BF3DB8">
        <w:t>ed</w:t>
      </w:r>
      <w:r w:rsidR="00F14777">
        <w:t xml:space="preserve"> 3/25/10, 10/11/11, 8/28/12, 6/24</w:t>
      </w:r>
      <w:r>
        <w:t>/15</w:t>
      </w:r>
      <w:r w:rsidR="00A1451B">
        <w:t>, 10/10/15</w:t>
      </w:r>
    </w:p>
    <w:p w14:paraId="2955141A" w14:textId="77777777" w:rsidR="00B831B7" w:rsidRDefault="00B831B7" w:rsidP="00094263"/>
    <w:p w14:paraId="52593B98" w14:textId="77777777" w:rsidR="00AC2B44" w:rsidRDefault="00AC2B44" w:rsidP="00094263">
      <w:pPr>
        <w:ind w:left="1080"/>
      </w:pPr>
    </w:p>
    <w:p w14:paraId="44500C76" w14:textId="77777777" w:rsidR="00B831B7" w:rsidRPr="00970B82" w:rsidRDefault="00B831B7" w:rsidP="00094263">
      <w:pPr>
        <w:pStyle w:val="ListParagraph"/>
        <w:numPr>
          <w:ilvl w:val="0"/>
          <w:numId w:val="1"/>
        </w:numPr>
        <w:rPr>
          <w:b/>
        </w:rPr>
      </w:pPr>
      <w:r w:rsidRPr="00970B82">
        <w:rPr>
          <w:b/>
        </w:rPr>
        <w:t xml:space="preserve">Fixed-term Faculty </w:t>
      </w:r>
      <w:r w:rsidR="00B00177">
        <w:rPr>
          <w:b/>
        </w:rPr>
        <w:t xml:space="preserve">and Academic Professional </w:t>
      </w:r>
      <w:r w:rsidRPr="00970B82">
        <w:rPr>
          <w:b/>
        </w:rPr>
        <w:t>Promotion Criteria</w:t>
      </w:r>
    </w:p>
    <w:p w14:paraId="48FF6DB2" w14:textId="77777777" w:rsidR="004B5DC2" w:rsidRDefault="004B5DC2" w:rsidP="00094263">
      <w:bookmarkStart w:id="0" w:name="_GoBack"/>
      <w:bookmarkEnd w:id="0"/>
    </w:p>
    <w:p w14:paraId="0A20135E" w14:textId="77777777" w:rsidR="00B831B7" w:rsidRPr="00BC0FA3" w:rsidRDefault="00B831B7" w:rsidP="00094263">
      <w:pPr>
        <w:pStyle w:val="ListParagraph"/>
        <w:numPr>
          <w:ilvl w:val="0"/>
          <w:numId w:val="3"/>
        </w:numPr>
        <w:rPr>
          <w:b/>
        </w:rPr>
      </w:pPr>
      <w:r w:rsidRPr="00BC0FA3">
        <w:rPr>
          <w:b/>
        </w:rPr>
        <w:t>Definitions and Procedures</w:t>
      </w:r>
    </w:p>
    <w:p w14:paraId="0B93BE7D" w14:textId="77777777" w:rsidR="00BC0FA3" w:rsidRDefault="00BC0FA3" w:rsidP="00094263">
      <w:pPr>
        <w:ind w:left="1080"/>
      </w:pPr>
    </w:p>
    <w:p w14:paraId="3DFF83DF" w14:textId="77777777" w:rsidR="00BC0FA3" w:rsidRPr="00BC0FA3" w:rsidRDefault="00BC0FA3" w:rsidP="00094263">
      <w:pPr>
        <w:ind w:left="1080"/>
        <w:rPr>
          <w:i/>
        </w:rPr>
      </w:pPr>
      <w:r w:rsidRPr="00BC0FA3">
        <w:rPr>
          <w:i/>
        </w:rPr>
        <w:t>Definitions</w:t>
      </w:r>
    </w:p>
    <w:p w14:paraId="0E72E046" w14:textId="77777777" w:rsidR="00BC0FA3" w:rsidRDefault="00FE4A17" w:rsidP="00094263">
      <w:pPr>
        <w:ind w:left="1080"/>
      </w:pPr>
      <w:r>
        <w:t xml:space="preserve"> </w:t>
      </w:r>
    </w:p>
    <w:p w14:paraId="6812A43C" w14:textId="77777777" w:rsidR="001E5389" w:rsidRDefault="00F4429F" w:rsidP="00094263">
      <w:pPr>
        <w:ind w:left="1080"/>
      </w:pPr>
      <w:r>
        <w:t>The three categories of fixed-</w:t>
      </w:r>
      <w:r w:rsidR="001E5389">
        <w:t>term appointments in SGSUP include Research Professors, Academ</w:t>
      </w:r>
      <w:r w:rsidR="00450986">
        <w:t>ic Professionals, and Lecturers, per definitions described in the ACD.</w:t>
      </w:r>
    </w:p>
    <w:p w14:paraId="2E338497" w14:textId="77777777" w:rsidR="001E5389" w:rsidRDefault="001E5389" w:rsidP="00094263">
      <w:pPr>
        <w:ind w:left="1080"/>
      </w:pPr>
    </w:p>
    <w:p w14:paraId="097252D3" w14:textId="66FD54A2" w:rsidR="001E5389" w:rsidRDefault="001E5389" w:rsidP="00094263">
      <w:pPr>
        <w:ind w:left="1440"/>
      </w:pPr>
      <w:r>
        <w:rPr>
          <w:b/>
        </w:rPr>
        <w:t>Research Professor (Assistant, Associate, or Full):</w:t>
      </w:r>
      <w:r>
        <w:t xml:space="preserve">  This title is appropriate for non</w:t>
      </w:r>
      <w:r w:rsidR="00270436">
        <w:t>-</w:t>
      </w:r>
      <w:r>
        <w:t xml:space="preserve">tenure-eligible researchers who </w:t>
      </w:r>
      <w:r w:rsidR="00F77F60">
        <w:t xml:space="preserve">typically </w:t>
      </w:r>
      <w:r>
        <w:t xml:space="preserve">hold a Ph.D. Typically, an individual appointed as a research professor has experience with research funding, has held a similar position at another university, and/or has operated with </w:t>
      </w:r>
      <w:r w:rsidR="004F5DF7">
        <w:t xml:space="preserve">a high level of </w:t>
      </w:r>
      <w:r>
        <w:t>autonomy on research project</w:t>
      </w:r>
      <w:r w:rsidR="004F5DF7">
        <w:t>s</w:t>
      </w:r>
      <w:r>
        <w:t>. Research faculty are fixed-term faculty members who are qualified to engage in, be responsible for, or oversee a significant research</w:t>
      </w:r>
      <w:r w:rsidR="00270436">
        <w:t xml:space="preserve"> project</w:t>
      </w:r>
      <w:r w:rsidR="0098366B">
        <w:t>.</w:t>
      </w:r>
      <w:r>
        <w:t xml:space="preserve"> They can serve as principal, multiple principal, or co-investigators on grants or contracts administered by the </w:t>
      </w:r>
      <w:r w:rsidR="004F5DF7">
        <w:t>U</w:t>
      </w:r>
      <w:r>
        <w:t xml:space="preserve">niversity or </w:t>
      </w:r>
      <w:r w:rsidR="004F5DF7">
        <w:t>assume</w:t>
      </w:r>
      <w:r>
        <w:t xml:space="preserve"> other </w:t>
      </w:r>
      <w:r w:rsidR="00270436">
        <w:t>high-level</w:t>
      </w:r>
      <w:r>
        <w:t xml:space="preserve"> responsibilities. In addition, fixed-term research faculty are expected to have collegial and collaborative relationships within SGSUP and contribute to regional or national professional organi</w:t>
      </w:r>
      <w:r w:rsidR="006C66FF">
        <w:t>zations that focus on research</w:t>
      </w:r>
      <w:r w:rsidR="009142AB">
        <w:t>,</w:t>
      </w:r>
      <w:r w:rsidR="006C66FF">
        <w:t xml:space="preserve"> although no unit service is expected. </w:t>
      </w:r>
      <w:r>
        <w:t xml:space="preserve">Fixed term faculty who are hired or supported by research grants or contracts are not guaranteed space, facilities, or services beyond those approved for currently active grants or contracts. Research Professors </w:t>
      </w:r>
      <w:r w:rsidR="00441296">
        <w:t xml:space="preserve">in SGSUP </w:t>
      </w:r>
      <w:r>
        <w:t xml:space="preserve">are not eligible to vote at faculty meetings. </w:t>
      </w:r>
    </w:p>
    <w:p w14:paraId="01E02473" w14:textId="77777777" w:rsidR="001E5389" w:rsidRDefault="001E5389" w:rsidP="00094263">
      <w:pPr>
        <w:ind w:left="1080"/>
      </w:pPr>
    </w:p>
    <w:p w14:paraId="0EE3014F" w14:textId="3B1E19CC" w:rsidR="00450986" w:rsidRDefault="001E5389" w:rsidP="00094263">
      <w:pPr>
        <w:ind w:left="1440"/>
      </w:pPr>
      <w:r w:rsidRPr="00AB756B">
        <w:rPr>
          <w:b/>
        </w:rPr>
        <w:t>Academic Professionals (Assistant, Associate, or Full/Senior):</w:t>
      </w:r>
      <w:r>
        <w:t xml:space="preserve"> </w:t>
      </w:r>
      <w:r w:rsidR="00AB756B">
        <w:t xml:space="preserve">This </w:t>
      </w:r>
      <w:r w:rsidR="00441296">
        <w:t>classification and the titles within are</w:t>
      </w:r>
      <w:r w:rsidR="00AB756B">
        <w:t xml:space="preserve"> appropriate for</w:t>
      </w:r>
      <w:r w:rsidR="00450986">
        <w:t xml:space="preserve"> individuals who support the unit’s mission</w:t>
      </w:r>
      <w:r w:rsidR="00234C6C">
        <w:t xml:space="preserve"> based on specialized knowledge and skills relevant to the unit’s academic area</w:t>
      </w:r>
      <w:r w:rsidR="00AB756B">
        <w:t>.</w:t>
      </w:r>
      <w:r w:rsidR="00450986">
        <w:t xml:space="preserve"> </w:t>
      </w:r>
      <w:r w:rsidR="00B00177">
        <w:t xml:space="preserve">The responsibilities of </w:t>
      </w:r>
      <w:r w:rsidR="00450986">
        <w:t xml:space="preserve">Academic </w:t>
      </w:r>
      <w:r w:rsidR="00945507">
        <w:t xml:space="preserve">Professionals </w:t>
      </w:r>
      <w:r w:rsidR="00441296">
        <w:t xml:space="preserve">may </w:t>
      </w:r>
      <w:r w:rsidR="00AB756B">
        <w:t>vary signi</w:t>
      </w:r>
      <w:r w:rsidR="00450986">
        <w:t>ficantly</w:t>
      </w:r>
      <w:r w:rsidR="00441296">
        <w:t>,</w:t>
      </w:r>
      <w:r w:rsidR="00450986">
        <w:t xml:space="preserve"> but </w:t>
      </w:r>
      <w:r w:rsidR="00441296">
        <w:t>typically focus on</w:t>
      </w:r>
      <w:r w:rsidR="00450986">
        <w:t xml:space="preserve"> </w:t>
      </w:r>
      <w:r w:rsidR="00B01836">
        <w:t>research support, instructional support</w:t>
      </w:r>
      <w:r w:rsidR="00450986">
        <w:t xml:space="preserve">, </w:t>
      </w:r>
      <w:r w:rsidR="00441296">
        <w:t xml:space="preserve">or </w:t>
      </w:r>
      <w:r w:rsidR="00450986">
        <w:t xml:space="preserve">other activities </w:t>
      </w:r>
      <w:r w:rsidR="00441296">
        <w:t>that require academic freedom</w:t>
      </w:r>
      <w:r w:rsidR="00450986">
        <w:t xml:space="preserve">. </w:t>
      </w:r>
      <w:r w:rsidR="00F612AD">
        <w:t>The work of Academic Professionals is evaluated based on three categories of responsibility: position effectiveness</w:t>
      </w:r>
      <w:r w:rsidR="00270436">
        <w:t>;</w:t>
      </w:r>
      <w:r w:rsidR="00F612AD">
        <w:t xml:space="preserve"> professional contributions</w:t>
      </w:r>
      <w:r w:rsidR="00270436">
        <w:t>;</w:t>
      </w:r>
      <w:r w:rsidR="00F612AD">
        <w:t xml:space="preserve"> and institutional, professional and community service (described in detail in ACD 202-02).  </w:t>
      </w:r>
      <w:r w:rsidR="00450986">
        <w:t xml:space="preserve">Academic Professionals </w:t>
      </w:r>
      <w:r w:rsidR="00441296">
        <w:t xml:space="preserve">in SGSUP </w:t>
      </w:r>
      <w:r w:rsidR="00450986">
        <w:t xml:space="preserve">are not eligible to vote at faculty meetings. </w:t>
      </w:r>
    </w:p>
    <w:p w14:paraId="35B5E9A7" w14:textId="77777777" w:rsidR="001E5389" w:rsidRDefault="001E5389" w:rsidP="00094263">
      <w:pPr>
        <w:ind w:left="1080"/>
      </w:pPr>
    </w:p>
    <w:p w14:paraId="1ED16DC2" w14:textId="41506D32" w:rsidR="00450986" w:rsidRDefault="001E5389" w:rsidP="00094263">
      <w:pPr>
        <w:ind w:left="1440"/>
      </w:pPr>
      <w:r w:rsidRPr="001E5389">
        <w:rPr>
          <w:b/>
        </w:rPr>
        <w:t xml:space="preserve">Lecturers (Lecturer, Senior Lecturer, </w:t>
      </w:r>
      <w:r w:rsidR="0098366B" w:rsidRPr="001E5389">
        <w:rPr>
          <w:b/>
        </w:rPr>
        <w:t>and Principal</w:t>
      </w:r>
      <w:r w:rsidRPr="001E5389">
        <w:rPr>
          <w:b/>
        </w:rPr>
        <w:t xml:space="preserve"> Lecturer):</w:t>
      </w:r>
      <w:r>
        <w:t xml:space="preserve"> This title is appropriate for non</w:t>
      </w:r>
      <w:r w:rsidR="00270436">
        <w:t>-</w:t>
      </w:r>
      <w:r>
        <w:t>tenure</w:t>
      </w:r>
      <w:r w:rsidR="00270436">
        <w:t xml:space="preserve"> </w:t>
      </w:r>
      <w:r>
        <w:t>eligible individuals who typically hold a Ph.D. and whose primary responsibility is instruction. Lecturers are fixed term faculty members who are qualified to teach a range of</w:t>
      </w:r>
      <w:r w:rsidR="00450986">
        <w:t xml:space="preserve"> courses within the School. I</w:t>
      </w:r>
      <w:r>
        <w:t>ndividual</w:t>
      </w:r>
      <w:r w:rsidR="00450986">
        <w:t>s</w:t>
      </w:r>
      <w:r>
        <w:t xml:space="preserve"> appointed as a lecturer </w:t>
      </w:r>
      <w:r w:rsidR="00450986">
        <w:t xml:space="preserve">are expected to support student success through high quality instruction and mentoring </w:t>
      </w:r>
      <w:r w:rsidR="00441296">
        <w:t xml:space="preserve">as </w:t>
      </w:r>
      <w:r w:rsidR="00450986">
        <w:t xml:space="preserve">appropriate. They can serve as advisors and readers on </w:t>
      </w:r>
      <w:r w:rsidR="006C66FF">
        <w:t xml:space="preserve">undergraduate honor’s theses. Lecturers are expected to support unit service through committees and participation in School affairs. </w:t>
      </w:r>
      <w:r w:rsidR="00450986">
        <w:t xml:space="preserve">Lecturers </w:t>
      </w:r>
      <w:r w:rsidR="00441296">
        <w:t xml:space="preserve">in SGSUP </w:t>
      </w:r>
      <w:r w:rsidR="00450986">
        <w:t xml:space="preserve">are not eligible to vote at faculty meetings. </w:t>
      </w:r>
    </w:p>
    <w:p w14:paraId="636C66E5" w14:textId="77777777" w:rsidR="001E5389" w:rsidRDefault="001E5389" w:rsidP="00094263">
      <w:pPr>
        <w:ind w:left="1080"/>
      </w:pPr>
    </w:p>
    <w:p w14:paraId="75439B99" w14:textId="77777777" w:rsidR="00094263" w:rsidRDefault="00094263" w:rsidP="00094263">
      <w:pPr>
        <w:ind w:left="1080"/>
      </w:pPr>
    </w:p>
    <w:p w14:paraId="50B43A9A" w14:textId="77777777" w:rsidR="00BC0FA3" w:rsidRPr="00BC0FA3" w:rsidRDefault="00BC0FA3" w:rsidP="00094263">
      <w:pPr>
        <w:ind w:left="1080"/>
        <w:rPr>
          <w:i/>
        </w:rPr>
      </w:pPr>
      <w:r w:rsidRPr="00BC0FA3">
        <w:rPr>
          <w:i/>
        </w:rPr>
        <w:t>Procedures</w:t>
      </w:r>
    </w:p>
    <w:p w14:paraId="2D3916DD" w14:textId="77777777" w:rsidR="00BC0FA3" w:rsidRDefault="00BC0FA3" w:rsidP="00094263">
      <w:pPr>
        <w:ind w:left="1080"/>
      </w:pPr>
    </w:p>
    <w:p w14:paraId="022EEBDD" w14:textId="2C809B4B" w:rsidR="00BC0FA3" w:rsidRDefault="00441296" w:rsidP="00094263">
      <w:pPr>
        <w:ind w:left="1080"/>
      </w:pPr>
      <w:r>
        <w:t xml:space="preserve">Consistent with </w:t>
      </w:r>
      <w:r w:rsidR="00270436">
        <w:t>U</w:t>
      </w:r>
      <w:r>
        <w:t xml:space="preserve">niversity and </w:t>
      </w:r>
      <w:r w:rsidR="00270436">
        <w:t>Col</w:t>
      </w:r>
      <w:r>
        <w:t xml:space="preserve">lege policy, </w:t>
      </w:r>
      <w:r w:rsidR="00D65947">
        <w:t>fixed-term</w:t>
      </w:r>
      <w:r w:rsidR="00BC0FA3">
        <w:t xml:space="preserve"> </w:t>
      </w:r>
      <w:r w:rsidR="00E621C0">
        <w:t xml:space="preserve">faculty and academic professionals </w:t>
      </w:r>
      <w:r w:rsidR="00BC0FA3">
        <w:t xml:space="preserve">may be </w:t>
      </w:r>
      <w:r w:rsidR="00D65947">
        <w:t>eligible</w:t>
      </w:r>
      <w:r w:rsidR="00BC0FA3">
        <w:t xml:space="preserve"> for promotion to the next higher rank. This consideration will be initiated by the </w:t>
      </w:r>
      <w:r w:rsidR="00B00177">
        <w:t>employee</w:t>
      </w:r>
      <w:r w:rsidR="00BC0FA3">
        <w:t xml:space="preserve"> and timed relative to the published </w:t>
      </w:r>
      <w:r w:rsidR="00E621C0">
        <w:t xml:space="preserve">annual </w:t>
      </w:r>
      <w:r w:rsidR="00BC0FA3">
        <w:t>Schedule of Academic Personnel Actions. This request must be made in writing to the School Director</w:t>
      </w:r>
      <w:r w:rsidR="00D33858">
        <w:t xml:space="preserve">. For information on what materials are required for consideration for promotion, please consult the applicable process guide located on the provost’s website. </w:t>
      </w:r>
      <w:hyperlink r:id="rId9" w:history="1">
        <w:r w:rsidR="00D33858" w:rsidRPr="00FA5E63">
          <w:rPr>
            <w:rStyle w:val="Hyperlink"/>
          </w:rPr>
          <w:t>https://provost.asu.edu/promotion_tenure</w:t>
        </w:r>
      </w:hyperlink>
      <w:r w:rsidR="00BC0FA3">
        <w:t xml:space="preserve"> </w:t>
      </w:r>
      <w:r w:rsidR="00E621C0">
        <w:t xml:space="preserve"> </w:t>
      </w:r>
    </w:p>
    <w:p w14:paraId="5D1B2D03" w14:textId="77777777" w:rsidR="00BC0FA3" w:rsidRDefault="00BC0FA3" w:rsidP="00094263">
      <w:pPr>
        <w:ind w:left="1080"/>
      </w:pPr>
    </w:p>
    <w:p w14:paraId="0FC72FD3" w14:textId="77777777" w:rsidR="000E597E" w:rsidRDefault="000E597E" w:rsidP="00094263">
      <w:pPr>
        <w:ind w:left="1440"/>
      </w:pPr>
    </w:p>
    <w:p w14:paraId="67826E44" w14:textId="77777777" w:rsidR="00B831B7" w:rsidRDefault="00B831B7" w:rsidP="00094263">
      <w:pPr>
        <w:pStyle w:val="ListParagraph"/>
        <w:numPr>
          <w:ilvl w:val="0"/>
          <w:numId w:val="3"/>
        </w:numPr>
        <w:rPr>
          <w:b/>
        </w:rPr>
      </w:pPr>
      <w:r w:rsidRPr="00BC0FA3">
        <w:rPr>
          <w:b/>
        </w:rPr>
        <w:t>Promotion Committee</w:t>
      </w:r>
      <w:r w:rsidR="004B5DC2">
        <w:rPr>
          <w:b/>
        </w:rPr>
        <w:t xml:space="preserve"> of Review</w:t>
      </w:r>
    </w:p>
    <w:p w14:paraId="11CD24E3" w14:textId="77777777" w:rsidR="00A42759" w:rsidRPr="00A42759" w:rsidRDefault="00A42759" w:rsidP="00094263">
      <w:pPr>
        <w:ind w:left="1080"/>
        <w:rPr>
          <w:b/>
        </w:rPr>
      </w:pPr>
    </w:p>
    <w:p w14:paraId="060CC773" w14:textId="00B64570" w:rsidR="00A42759" w:rsidRDefault="00A42759" w:rsidP="00094263">
      <w:pPr>
        <w:ind w:left="1080"/>
      </w:pPr>
      <w:r>
        <w:t xml:space="preserve">For the </w:t>
      </w:r>
      <w:r w:rsidR="00F4429F">
        <w:t>purposes of promotion for fixed-</w:t>
      </w:r>
      <w:r>
        <w:t xml:space="preserve">term </w:t>
      </w:r>
      <w:r w:rsidR="00E621C0">
        <w:t>faculty and academic professionals</w:t>
      </w:r>
      <w:r>
        <w:t xml:space="preserve">, the “Committee of </w:t>
      </w:r>
      <w:r w:rsidRPr="009A7074">
        <w:t>Re</w:t>
      </w:r>
      <w:r w:rsidR="00F4429F" w:rsidRPr="009A7074">
        <w:t>view” will consist of all fixed-</w:t>
      </w:r>
      <w:r w:rsidRPr="009A7074">
        <w:t xml:space="preserve">term </w:t>
      </w:r>
      <w:r w:rsidR="00E621C0">
        <w:t xml:space="preserve">faculty and academic professionals </w:t>
      </w:r>
      <w:r w:rsidRPr="009A7074">
        <w:t>at and above the rank to which the candidate would be promoted as specified in the SGSUP Bylaws, Article IX.</w:t>
      </w:r>
    </w:p>
    <w:p w14:paraId="334C35FC" w14:textId="77777777" w:rsidR="00A42759" w:rsidRDefault="00A42759" w:rsidP="00094263">
      <w:pPr>
        <w:ind w:left="1080"/>
      </w:pPr>
    </w:p>
    <w:p w14:paraId="0DBFC8A9" w14:textId="092526E4" w:rsidR="00A42759" w:rsidRDefault="00A42759" w:rsidP="00094263">
      <w:pPr>
        <w:ind w:left="1080"/>
      </w:pPr>
      <w:r>
        <w:t xml:space="preserve">At the beginning of Fall Semester of the Academic Year, the </w:t>
      </w:r>
      <w:r w:rsidR="00A44200">
        <w:t xml:space="preserve">School </w:t>
      </w:r>
      <w:r>
        <w:t>Director will provide the School’s Committee of Review with a list of all candidates that have applied for promotion and the time frame for the completed review by the</w:t>
      </w:r>
      <w:r w:rsidR="00B65732">
        <w:t xml:space="preserve"> C</w:t>
      </w:r>
      <w:r>
        <w:t>ommittee</w:t>
      </w:r>
      <w:r w:rsidR="00E621C0">
        <w:t>.</w:t>
      </w:r>
    </w:p>
    <w:p w14:paraId="1181B325" w14:textId="77777777" w:rsidR="00A42759" w:rsidRDefault="00A42759" w:rsidP="00094263">
      <w:pPr>
        <w:ind w:left="1080"/>
      </w:pPr>
    </w:p>
    <w:p w14:paraId="37C24B50" w14:textId="7FA8403C" w:rsidR="00A42759" w:rsidRDefault="00A42759" w:rsidP="00094263">
      <w:pPr>
        <w:ind w:left="1080"/>
      </w:pPr>
      <w:r>
        <w:t xml:space="preserve">The School’s Committee of Review will elect a Chair, who will be responsible for ensuring a timely completion </w:t>
      </w:r>
      <w:r w:rsidR="00D33858">
        <w:t xml:space="preserve">of the review.  The Chair of the Review Committee will appoint three individuals to serve on the subcommittee </w:t>
      </w:r>
      <w:r w:rsidR="00270436">
        <w:t>that</w:t>
      </w:r>
      <w:r w:rsidR="00D33858">
        <w:t xml:space="preserve"> reviews the candidate’s credentials for promotion. If there are multiple candidates, there will be multiple subcommittees.  Memb</w:t>
      </w:r>
      <w:r w:rsidR="00270436">
        <w:t xml:space="preserve">ers of the subcommittees </w:t>
      </w:r>
      <w:r w:rsidR="00D33858">
        <w:t xml:space="preserve">reflect the research interests and job duties of the candidate to the extent possible in a School where there are a limited number of fixed-term faculty members and academic professionals. The Chair of the Review Committee will also designate one member of the subcommittee as chair, and that individual will </w:t>
      </w:r>
      <w:r w:rsidR="00270436">
        <w:t xml:space="preserve">be responsible for preparing </w:t>
      </w:r>
      <w:r w:rsidR="008B2F5D">
        <w:t>a draft do</w:t>
      </w:r>
      <w:r w:rsidR="00270436">
        <w:t>c</w:t>
      </w:r>
      <w:r w:rsidR="008B2F5D">
        <w:t xml:space="preserve">ument for </w:t>
      </w:r>
      <w:r w:rsidR="00D33858">
        <w:t>internal review of the candidate.</w:t>
      </w:r>
    </w:p>
    <w:p w14:paraId="33D010BC" w14:textId="77777777" w:rsidR="00A42759" w:rsidRDefault="00A42759" w:rsidP="00094263">
      <w:pPr>
        <w:ind w:left="1080"/>
      </w:pPr>
    </w:p>
    <w:p w14:paraId="682D831E" w14:textId="565D0C6E" w:rsidR="00A42759" w:rsidRDefault="00A42759" w:rsidP="00094263">
      <w:pPr>
        <w:ind w:left="1080"/>
      </w:pPr>
      <w:r>
        <w:t>Each cas</w:t>
      </w:r>
      <w:r w:rsidR="00F4429F">
        <w:t>e will be reviewed by all fixed-</w:t>
      </w:r>
      <w:r>
        <w:t xml:space="preserve">term </w:t>
      </w:r>
      <w:r w:rsidR="004F46CD">
        <w:t xml:space="preserve">faculty and academic </w:t>
      </w:r>
      <w:r w:rsidR="008B2F5D">
        <w:t>professionals</w:t>
      </w:r>
      <w:r w:rsidR="004F46CD">
        <w:t xml:space="preserve"> </w:t>
      </w:r>
      <w:r w:rsidR="00270436">
        <w:t>o</w:t>
      </w:r>
      <w:r>
        <w:t xml:space="preserve">n the School’s Committee of Review. The </w:t>
      </w:r>
      <w:r w:rsidR="00F4429F">
        <w:t xml:space="preserve">subcommittee </w:t>
      </w:r>
      <w:r w:rsidR="00270436">
        <w:t>c</w:t>
      </w:r>
      <w:r w:rsidR="00F4429F">
        <w:t>hair will lead the discussion of each case. Only fixed-</w:t>
      </w:r>
      <w:r>
        <w:t xml:space="preserve">term </w:t>
      </w:r>
      <w:r w:rsidR="0040275F">
        <w:t xml:space="preserve">employees </w:t>
      </w:r>
      <w:r>
        <w:t xml:space="preserve">of the School’s Committee </w:t>
      </w:r>
      <w:r w:rsidR="00F4429F">
        <w:t xml:space="preserve">of Review </w:t>
      </w:r>
      <w:r>
        <w:t xml:space="preserve">who are present during the </w:t>
      </w:r>
      <w:r w:rsidR="004F46CD">
        <w:t>in-</w:t>
      </w:r>
      <w:r w:rsidR="00F4429F">
        <w:t xml:space="preserve">person </w:t>
      </w:r>
      <w:r>
        <w:t xml:space="preserve">meeting </w:t>
      </w:r>
      <w:r w:rsidR="00F4429F">
        <w:t>when</w:t>
      </w:r>
      <w:r>
        <w:t xml:space="preserve"> a case is discussed are allowed to contribute to</w:t>
      </w:r>
      <w:r w:rsidR="00F4429F">
        <w:t xml:space="preserve"> and sign</w:t>
      </w:r>
      <w:r>
        <w:t xml:space="preserve"> the School</w:t>
      </w:r>
      <w:r w:rsidR="00270436">
        <w:t>’s</w:t>
      </w:r>
      <w:r>
        <w:t xml:space="preserve"> report.</w:t>
      </w:r>
      <w:r w:rsidR="00E54DF7">
        <w:t xml:space="preserve"> They will vote on the case, and that vote will be recorded in the written report that is delivered to the School Director. The School</w:t>
      </w:r>
      <w:r w:rsidR="00564F30">
        <w:t>’s</w:t>
      </w:r>
      <w:r w:rsidR="00E54DF7">
        <w:t xml:space="preserve"> report represents the majority view of the Committee of Review, but </w:t>
      </w:r>
      <w:r w:rsidR="008B2F5D">
        <w:t>any</w:t>
      </w:r>
      <w:r w:rsidR="00E54DF7">
        <w:t xml:space="preserve"> minority opinion </w:t>
      </w:r>
      <w:r w:rsidR="008B2F5D">
        <w:t>is to</w:t>
      </w:r>
      <w:r w:rsidR="00E54DF7">
        <w:t xml:space="preserve"> be included in the report.</w:t>
      </w:r>
    </w:p>
    <w:p w14:paraId="350C14D4" w14:textId="77777777" w:rsidR="00A42759" w:rsidRDefault="00A42759" w:rsidP="00094263">
      <w:pPr>
        <w:ind w:left="1080"/>
      </w:pPr>
    </w:p>
    <w:p w14:paraId="155C1126" w14:textId="77777777" w:rsidR="00A42759" w:rsidRDefault="00A42759" w:rsidP="00094263">
      <w:pPr>
        <w:ind w:left="1080"/>
      </w:pPr>
    </w:p>
    <w:p w14:paraId="080AA6AA" w14:textId="7C95F87D" w:rsidR="00A42759" w:rsidRDefault="00A42759" w:rsidP="00094263">
      <w:pPr>
        <w:ind w:left="1080"/>
      </w:pPr>
      <w:r>
        <w:t>The School report must be forwarded to the Director within the time frame agreed upon between the Director and the School’s Committee</w:t>
      </w:r>
      <w:r w:rsidR="00F4429F">
        <w:t xml:space="preserve"> of Review</w:t>
      </w:r>
      <w:r>
        <w:t>.</w:t>
      </w:r>
    </w:p>
    <w:p w14:paraId="1BA882A7" w14:textId="77777777" w:rsidR="00A42759" w:rsidRDefault="00A42759" w:rsidP="00094263">
      <w:pPr>
        <w:ind w:left="1080"/>
      </w:pPr>
    </w:p>
    <w:p w14:paraId="2AA911AB" w14:textId="77777777" w:rsidR="00A42759" w:rsidRDefault="00A42759" w:rsidP="00094263">
      <w:pPr>
        <w:ind w:left="1080"/>
      </w:pPr>
      <w:r>
        <w:t>For</w:t>
      </w:r>
      <w:r w:rsidR="00F4429F">
        <w:t xml:space="preserve"> fixed term</w:t>
      </w:r>
      <w:r>
        <w:t xml:space="preserve"> </w:t>
      </w:r>
      <w:r w:rsidR="0040275F">
        <w:t xml:space="preserve">employees </w:t>
      </w:r>
      <w:r>
        <w:t>with joint appointments, a procedure to incorporate the input from the multiple units involved will be spelled out in a Memorandum of Understanding.</w:t>
      </w:r>
    </w:p>
    <w:p w14:paraId="33178E29" w14:textId="77777777" w:rsidR="004B5DC2" w:rsidRDefault="004B5DC2" w:rsidP="00094263"/>
    <w:p w14:paraId="3DB543C1" w14:textId="77777777" w:rsidR="00094263" w:rsidRDefault="00094263" w:rsidP="00094263"/>
    <w:p w14:paraId="6DF510A9" w14:textId="77777777" w:rsidR="00094263" w:rsidRDefault="00094263" w:rsidP="00094263"/>
    <w:p w14:paraId="6D8D2385" w14:textId="77777777" w:rsidR="00094263" w:rsidRDefault="00094263" w:rsidP="00094263"/>
    <w:p w14:paraId="5A989662" w14:textId="77777777" w:rsidR="00094263" w:rsidRDefault="00094263" w:rsidP="00094263"/>
    <w:p w14:paraId="2ACE0B30" w14:textId="77777777" w:rsidR="00094263" w:rsidRDefault="00094263" w:rsidP="00094263"/>
    <w:p w14:paraId="29B587D9" w14:textId="77777777" w:rsidR="00B831B7" w:rsidRDefault="00B831B7" w:rsidP="00094263">
      <w:pPr>
        <w:pStyle w:val="ListParagraph"/>
        <w:numPr>
          <w:ilvl w:val="0"/>
          <w:numId w:val="3"/>
        </w:numPr>
        <w:rPr>
          <w:b/>
        </w:rPr>
      </w:pPr>
      <w:r w:rsidRPr="00BC0FA3">
        <w:rPr>
          <w:b/>
        </w:rPr>
        <w:t>Promotion from Assistant to Associate Research Professor</w:t>
      </w:r>
    </w:p>
    <w:p w14:paraId="34295837" w14:textId="77777777" w:rsidR="00CC65C7" w:rsidRPr="00CC65C7" w:rsidRDefault="00CC65C7" w:rsidP="00094263">
      <w:pPr>
        <w:rPr>
          <w:b/>
        </w:rPr>
      </w:pPr>
    </w:p>
    <w:p w14:paraId="3129FB4A" w14:textId="12914F1E" w:rsidR="00CC65C7" w:rsidRDefault="00A7686C" w:rsidP="00094263">
      <w:pPr>
        <w:ind w:left="1080"/>
      </w:pPr>
      <w:r>
        <w:t>Candidates seeking</w:t>
      </w:r>
      <w:r w:rsidR="00CC65C7" w:rsidRPr="007248DE">
        <w:t xml:space="preserve"> promotion from Assistant Research Professor to Associate Research Professor</w:t>
      </w:r>
      <w:r>
        <w:t xml:space="preserve"> must have a minimum of five years </w:t>
      </w:r>
      <w:r w:rsidR="00564F30">
        <w:t xml:space="preserve">of </w:t>
      </w:r>
      <w:r>
        <w:t>experience in rank at ASU and</w:t>
      </w:r>
      <w:r w:rsidR="004B5DC2">
        <w:t xml:space="preserve"> demonstrate clear </w:t>
      </w:r>
      <w:r w:rsidR="00CC65C7" w:rsidRPr="007248DE">
        <w:t xml:space="preserve">evidence </w:t>
      </w:r>
      <w:r w:rsidR="004B5DC2">
        <w:t>of a</w:t>
      </w:r>
      <w:r w:rsidR="00CC65C7" w:rsidRPr="007248DE">
        <w:t xml:space="preserve"> successfully launched research program.</w:t>
      </w:r>
      <w:r w:rsidR="00CC65C7">
        <w:t xml:space="preserve"> One of the primary indicators of success involves </w:t>
      </w:r>
      <w:r w:rsidR="004B5DC2">
        <w:t>funded</w:t>
      </w:r>
      <w:r w:rsidR="00CC65C7">
        <w:t xml:space="preserve"> grants, ideally as a PI (principal investigator) although involvement as a co-Investigator on multiple externally-funded grants is also viewed favorably.   </w:t>
      </w:r>
    </w:p>
    <w:p w14:paraId="329A2066" w14:textId="77777777" w:rsidR="004B5DC2" w:rsidRDefault="004B5DC2" w:rsidP="00094263">
      <w:pPr>
        <w:ind w:left="1080"/>
      </w:pPr>
    </w:p>
    <w:p w14:paraId="5DD9ACB7" w14:textId="0F642903" w:rsidR="00CC65C7" w:rsidRDefault="00CC65C7" w:rsidP="00094263">
      <w:pPr>
        <w:ind w:left="1080"/>
      </w:pPr>
      <w:r w:rsidRPr="007248DE">
        <w:t xml:space="preserve">Another primary indicator of success is published </w:t>
      </w:r>
      <w:r w:rsidR="006A7C90">
        <w:t xml:space="preserve">peer-reviewed </w:t>
      </w:r>
      <w:r w:rsidRPr="007248DE">
        <w:t xml:space="preserve">work </w:t>
      </w:r>
      <w:r>
        <w:t xml:space="preserve">of high quality that constitutes a program of research. </w:t>
      </w:r>
      <w:r w:rsidR="00564F30">
        <w:t xml:space="preserve">It is expected that this work is published </w:t>
      </w:r>
      <w:r w:rsidR="00A44200">
        <w:t xml:space="preserve">in </w:t>
      </w:r>
      <w:r w:rsidR="00E54DF7">
        <w:t>high-impact</w:t>
      </w:r>
      <w:r w:rsidR="00A44200">
        <w:t xml:space="preserve"> journals</w:t>
      </w:r>
      <w:r w:rsidR="00E54DF7">
        <w:t xml:space="preserve">, with impact measured </w:t>
      </w:r>
      <w:r w:rsidR="00564F30">
        <w:t xml:space="preserve">in terms of </w:t>
      </w:r>
      <w:r>
        <w:t>citations by other researchers. I</w:t>
      </w:r>
      <w:r w:rsidRPr="007248DE">
        <w:t xml:space="preserve">nvited presentations, symposium contributions, </w:t>
      </w:r>
      <w:r w:rsidR="0001111A">
        <w:t xml:space="preserve">peer reviewed software development, </w:t>
      </w:r>
      <w:r w:rsidRPr="007248DE">
        <w:t>and book chapters</w:t>
      </w:r>
      <w:r>
        <w:t xml:space="preserve"> are also indicators of visibility in the field</w:t>
      </w:r>
      <w:r w:rsidR="00E54DF7">
        <w:t xml:space="preserve"> and indicators of research success</w:t>
      </w:r>
      <w:r w:rsidRPr="007248DE">
        <w:t xml:space="preserve">. </w:t>
      </w:r>
      <w:r w:rsidR="00E54DF7">
        <w:t xml:space="preserve">First-author status on publications is valued </w:t>
      </w:r>
      <w:r w:rsidRPr="007248DE">
        <w:t>although the candidate’s full publication record</w:t>
      </w:r>
      <w:r w:rsidR="00E54DF7">
        <w:t xml:space="preserve">, including co-authored publications, </w:t>
      </w:r>
      <w:r w:rsidRPr="007248DE">
        <w:t>will be considered in the evaluation of scholarly productivity</w:t>
      </w:r>
      <w:r w:rsidR="00E54DF7">
        <w:t>.</w:t>
      </w:r>
      <w:r>
        <w:t xml:space="preserve"> </w:t>
      </w:r>
    </w:p>
    <w:p w14:paraId="02C3C326" w14:textId="77777777" w:rsidR="004B5DC2" w:rsidRDefault="004B5DC2" w:rsidP="00094263">
      <w:pPr>
        <w:ind w:left="1080"/>
      </w:pPr>
    </w:p>
    <w:p w14:paraId="2B22340A" w14:textId="77777777" w:rsidR="00CC65C7" w:rsidRDefault="00CC65C7" w:rsidP="00094263">
      <w:pPr>
        <w:ind w:left="1080"/>
      </w:pPr>
      <w:r>
        <w:t xml:space="preserve">Other </w:t>
      </w:r>
      <w:r w:rsidRPr="007248DE">
        <w:t xml:space="preserve">indicators of success </w:t>
      </w:r>
      <w:r>
        <w:t xml:space="preserve">(although carrying less weight in the promotion decision) </w:t>
      </w:r>
      <w:r w:rsidRPr="007248DE">
        <w:t>involve participating in the extramural scientific commu</w:t>
      </w:r>
      <w:r w:rsidR="00E07CAB">
        <w:t>nity by, for example, accepting</w:t>
      </w:r>
      <w:r w:rsidRPr="007248DE">
        <w:rPr>
          <w:i/>
          <w:spacing w:val="-5"/>
        </w:rPr>
        <w:t xml:space="preserve"> </w:t>
      </w:r>
      <w:r w:rsidRPr="007248DE">
        <w:t>requests</w:t>
      </w:r>
      <w:r>
        <w:t xml:space="preserve"> to review journal </w:t>
      </w:r>
      <w:r w:rsidRPr="00E07CAB">
        <w:rPr>
          <w:rFonts w:ascii="Cambria" w:hAnsi="Cambria"/>
        </w:rPr>
        <w:t>manuscripts</w:t>
      </w:r>
      <w:r w:rsidR="00E07CAB" w:rsidRPr="00E07CAB">
        <w:rPr>
          <w:rFonts w:ascii="Cambria" w:hAnsi="Cambria"/>
        </w:rPr>
        <w:t xml:space="preserve">, and </w:t>
      </w:r>
      <w:r w:rsidR="00E07CAB" w:rsidRPr="00E07CAB">
        <w:rPr>
          <w:rFonts w:ascii="Cambria" w:hAnsi="Cambria" w:cs="Calibri"/>
        </w:rPr>
        <w:t>organizing and chairing sessions at professional meetings.</w:t>
      </w:r>
    </w:p>
    <w:p w14:paraId="5A33360E" w14:textId="77777777" w:rsidR="004B5DC2" w:rsidRDefault="004B5DC2" w:rsidP="00094263">
      <w:pPr>
        <w:ind w:left="1080"/>
      </w:pPr>
    </w:p>
    <w:p w14:paraId="79ADA06F" w14:textId="580C7F68" w:rsidR="00CC65C7" w:rsidRDefault="00E54DF7" w:rsidP="00094263">
      <w:pPr>
        <w:ind w:left="1080"/>
      </w:pPr>
      <w:r>
        <w:t>R</w:t>
      </w:r>
      <w:r w:rsidR="00CC65C7" w:rsidRPr="007248DE">
        <w:t xml:space="preserve">esearch faculty often make important contributions to the </w:t>
      </w:r>
      <w:r w:rsidR="006A7C90">
        <w:t>School</w:t>
      </w:r>
      <w:r w:rsidR="00CC65C7" w:rsidRPr="007248DE">
        <w:t xml:space="preserve"> and </w:t>
      </w:r>
      <w:r w:rsidR="006A7C90">
        <w:t>ASU</w:t>
      </w:r>
      <w:r w:rsidR="00CC65C7" w:rsidRPr="007248DE">
        <w:t xml:space="preserve"> through mentoring of post-doctoral</w:t>
      </w:r>
      <w:r w:rsidR="0005032E">
        <w:t xml:space="preserve"> fellows and</w:t>
      </w:r>
      <w:r w:rsidR="00CC65C7" w:rsidRPr="007248DE">
        <w:t xml:space="preserve"> doctoral, and undergraduate students in areas </w:t>
      </w:r>
      <w:r w:rsidR="0005032E">
        <w:t xml:space="preserve">relevant to their research. This mentoring may take the form of advice on </w:t>
      </w:r>
      <w:r w:rsidR="00CC65C7" w:rsidRPr="007248DE">
        <w:t xml:space="preserve">research methodology and implementation, statistical </w:t>
      </w:r>
      <w:r w:rsidR="0005032E">
        <w:t xml:space="preserve">analysis, </w:t>
      </w:r>
      <w:r w:rsidR="00CC65C7" w:rsidRPr="007248DE">
        <w:t xml:space="preserve">and manuscript </w:t>
      </w:r>
      <w:r w:rsidR="0005032E">
        <w:t xml:space="preserve">preparation. Contribution to the School may also involve </w:t>
      </w:r>
      <w:r w:rsidR="00A7686C">
        <w:t>service activities to the institution, community, and discipline</w:t>
      </w:r>
      <w:r w:rsidR="0005032E">
        <w:t xml:space="preserve"> but these</w:t>
      </w:r>
      <w:r w:rsidR="007622CB">
        <w:t xml:space="preserve"> activities</w:t>
      </w:r>
      <w:r w:rsidR="00CC65C7" w:rsidRPr="007248DE">
        <w:t xml:space="preserve"> </w:t>
      </w:r>
      <w:r w:rsidR="0005032E">
        <w:t xml:space="preserve">do not compensate for </w:t>
      </w:r>
      <w:r w:rsidR="00CC65C7" w:rsidRPr="007248DE">
        <w:t>a clearly established record of research success as evidenced by external grant funding and scholarly publications.</w:t>
      </w:r>
    </w:p>
    <w:p w14:paraId="14F0AB01" w14:textId="77777777" w:rsidR="00BC0FA3" w:rsidRDefault="00BC0FA3" w:rsidP="00094263">
      <w:pPr>
        <w:ind w:left="1080"/>
      </w:pPr>
    </w:p>
    <w:p w14:paraId="6FDCEF65" w14:textId="77777777" w:rsidR="00B831B7" w:rsidRDefault="00B831B7" w:rsidP="00094263">
      <w:pPr>
        <w:pStyle w:val="ListParagraph"/>
        <w:numPr>
          <w:ilvl w:val="0"/>
          <w:numId w:val="3"/>
        </w:numPr>
        <w:rPr>
          <w:b/>
        </w:rPr>
      </w:pPr>
      <w:r w:rsidRPr="00BC0FA3">
        <w:rPr>
          <w:b/>
        </w:rPr>
        <w:t>Promotion from Associate to Full Research Professor</w:t>
      </w:r>
    </w:p>
    <w:p w14:paraId="09D8F213" w14:textId="77777777" w:rsidR="00746F7B" w:rsidRDefault="00746F7B" w:rsidP="00094263">
      <w:pPr>
        <w:tabs>
          <w:tab w:val="left" w:pos="180"/>
        </w:tabs>
        <w:ind w:left="1440"/>
      </w:pPr>
    </w:p>
    <w:p w14:paraId="62CB8A75" w14:textId="39C397A8" w:rsidR="00CC65C7" w:rsidRDefault="00A7686C" w:rsidP="00094263">
      <w:pPr>
        <w:tabs>
          <w:tab w:val="left" w:pos="180"/>
        </w:tabs>
        <w:ind w:left="1080"/>
      </w:pPr>
      <w:r>
        <w:t>Candidates seeking</w:t>
      </w:r>
      <w:r w:rsidR="00CC65C7" w:rsidRPr="007248DE">
        <w:t xml:space="preserve"> promotion </w:t>
      </w:r>
      <w:r w:rsidR="00746F7B">
        <w:t xml:space="preserve">from Associate to Full </w:t>
      </w:r>
      <w:r w:rsidR="00CC65C7" w:rsidRPr="007248DE">
        <w:t>Research Professor</w:t>
      </w:r>
      <w:r w:rsidR="0005032E">
        <w:t xml:space="preserve"> </w:t>
      </w:r>
      <w:r>
        <w:t>must have a minimum of seven years’ experience in rank at ASU</w:t>
      </w:r>
      <w:r w:rsidR="0005032E">
        <w:t>, a</w:t>
      </w:r>
      <w:r w:rsidR="00746F7B">
        <w:t xml:space="preserve"> demonstrate</w:t>
      </w:r>
      <w:r w:rsidR="0005032E">
        <w:t>d</w:t>
      </w:r>
      <w:r w:rsidR="00CC65C7">
        <w:t xml:space="preserve"> capacity </w:t>
      </w:r>
      <w:r w:rsidR="0005032E">
        <w:t xml:space="preserve">for </w:t>
      </w:r>
      <w:r w:rsidR="00CC65C7">
        <w:t xml:space="preserve">principal investigator </w:t>
      </w:r>
      <w:r w:rsidR="00AA1EB2">
        <w:t>(PI)</w:t>
      </w:r>
      <w:r w:rsidR="0005032E">
        <w:t xml:space="preserve"> status on research grants</w:t>
      </w:r>
      <w:r w:rsidR="00CC65C7">
        <w:t>, a continuous record of scholarly productivity, and further development of research interests over the period of time after the initial promotion</w:t>
      </w:r>
      <w:r>
        <w:t>/appointment</w:t>
      </w:r>
      <w:r w:rsidR="00CC65C7">
        <w:t xml:space="preserve"> to Associate Research Professor.</w:t>
      </w:r>
    </w:p>
    <w:p w14:paraId="358B9640" w14:textId="77777777" w:rsidR="00746F7B" w:rsidRDefault="00746F7B" w:rsidP="00094263">
      <w:pPr>
        <w:tabs>
          <w:tab w:val="left" w:pos="180"/>
        </w:tabs>
        <w:ind w:left="1080"/>
      </w:pPr>
    </w:p>
    <w:p w14:paraId="470FF6BB" w14:textId="59268021" w:rsidR="00CC65C7" w:rsidRDefault="00CC65C7" w:rsidP="00094263">
      <w:pPr>
        <w:tabs>
          <w:tab w:val="left" w:pos="180"/>
        </w:tabs>
        <w:ind w:left="1080"/>
      </w:pPr>
      <w:r>
        <w:t xml:space="preserve">Fresh scholarly contributions through this period should be evident, showing </w:t>
      </w:r>
      <w:r w:rsidRPr="00E07CAB">
        <w:rPr>
          <w:rFonts w:ascii="Cambria" w:hAnsi="Cambria"/>
        </w:rPr>
        <w:t>an upward trajectory in productivity</w:t>
      </w:r>
      <w:r w:rsidR="00044C62">
        <w:rPr>
          <w:rFonts w:ascii="Cambria" w:hAnsi="Cambria"/>
        </w:rPr>
        <w:t xml:space="preserve"> and the introduction of new ideas and methods</w:t>
      </w:r>
      <w:r w:rsidRPr="00E07CAB">
        <w:rPr>
          <w:rFonts w:ascii="Cambria" w:hAnsi="Cambria"/>
        </w:rPr>
        <w:t xml:space="preserve">. </w:t>
      </w:r>
      <w:r w:rsidR="00A91290">
        <w:rPr>
          <w:rFonts w:ascii="Cambria" w:hAnsi="Cambria"/>
        </w:rPr>
        <w:t>Increasing maturity is r</w:t>
      </w:r>
      <w:r w:rsidR="00094263">
        <w:rPr>
          <w:rFonts w:ascii="Cambria" w:hAnsi="Cambria"/>
        </w:rPr>
        <w:t xml:space="preserve">eflected in activities such as </w:t>
      </w:r>
      <w:r w:rsidR="00A91290">
        <w:rPr>
          <w:rFonts w:ascii="Cambria" w:hAnsi="Cambria"/>
        </w:rPr>
        <w:t>consistent</w:t>
      </w:r>
      <w:r w:rsidRPr="00E07CAB">
        <w:rPr>
          <w:rFonts w:ascii="Cambria" w:hAnsi="Cambria"/>
        </w:rPr>
        <w:t xml:space="preserve"> extramural funding as principal investigator</w:t>
      </w:r>
      <w:r w:rsidR="00AA1EB2" w:rsidRPr="00E07CAB">
        <w:rPr>
          <w:rFonts w:ascii="Cambria" w:hAnsi="Cambria"/>
        </w:rPr>
        <w:t xml:space="preserve"> and publications in high impact refereed journals.</w:t>
      </w:r>
      <w:r w:rsidR="00B65732">
        <w:rPr>
          <w:rFonts w:ascii="Cambria" w:hAnsi="Cambria"/>
        </w:rPr>
        <w:t xml:space="preserve"> Additional evidence of scholarly productivity include: </w:t>
      </w:r>
      <w:r w:rsidRPr="00E07CAB">
        <w:rPr>
          <w:rFonts w:ascii="Cambria" w:hAnsi="Cambria"/>
        </w:rPr>
        <w:t xml:space="preserve">review articles, books, invited chapters, special journal editions, invited symposia, distinguished presentations, </w:t>
      </w:r>
      <w:r w:rsidR="0001111A" w:rsidRPr="00E07CAB">
        <w:rPr>
          <w:rFonts w:ascii="Cambria" w:hAnsi="Cambria"/>
        </w:rPr>
        <w:t xml:space="preserve">external recognition of contributions toward software development, </w:t>
      </w:r>
      <w:r w:rsidRPr="00E07CAB">
        <w:rPr>
          <w:rFonts w:ascii="Cambria" w:hAnsi="Cambria"/>
        </w:rPr>
        <w:t>special awards, consultation activities, editorial board memberships, serving on external funding review committees, chairing committees of professional organizat</w:t>
      </w:r>
      <w:r w:rsidR="00E94113" w:rsidRPr="00E07CAB">
        <w:rPr>
          <w:rFonts w:ascii="Cambria" w:hAnsi="Cambria"/>
        </w:rPr>
        <w:t>ions,</w:t>
      </w:r>
      <w:r w:rsidR="00E07CAB" w:rsidRPr="00E07CAB">
        <w:rPr>
          <w:rFonts w:ascii="Cambria" w:hAnsi="Cambria"/>
        </w:rPr>
        <w:t xml:space="preserve"> serving on a </w:t>
      </w:r>
      <w:r w:rsidR="00E07CAB" w:rsidRPr="00E07CAB">
        <w:rPr>
          <w:rFonts w:ascii="Cambria" w:hAnsi="Cambria" w:cs="Calibri"/>
        </w:rPr>
        <w:t xml:space="preserve">conference steering committee, organizing and chairing sessions at professional meetings, </w:t>
      </w:r>
      <w:r w:rsidR="00E94113" w:rsidRPr="00E07CAB">
        <w:rPr>
          <w:rFonts w:ascii="Cambria" w:hAnsi="Cambria"/>
        </w:rPr>
        <w:t xml:space="preserve">and </w:t>
      </w:r>
      <w:r w:rsidRPr="00E07CAB">
        <w:rPr>
          <w:rFonts w:ascii="Cambria" w:hAnsi="Cambria"/>
        </w:rPr>
        <w:t>fostering collegial relationships with less senior research faculty</w:t>
      </w:r>
      <w:r w:rsidR="00B65732">
        <w:rPr>
          <w:rFonts w:ascii="Cambria" w:hAnsi="Cambria"/>
        </w:rPr>
        <w:t>.</w:t>
      </w:r>
      <w:r w:rsidRPr="00E07CAB">
        <w:rPr>
          <w:rFonts w:ascii="Cambria" w:hAnsi="Cambria"/>
        </w:rPr>
        <w:t xml:space="preserve"> </w:t>
      </w:r>
      <w:r w:rsidR="00B65732">
        <w:rPr>
          <w:rFonts w:ascii="Cambria" w:hAnsi="Cambria"/>
        </w:rPr>
        <w:t xml:space="preserve">There should </w:t>
      </w:r>
      <w:r w:rsidR="00B65732">
        <w:rPr>
          <w:rFonts w:ascii="Cambria" w:hAnsi="Cambria"/>
        </w:rPr>
        <w:lastRenderedPageBreak/>
        <w:t xml:space="preserve">be clear evidence of growing visibility and productivity </w:t>
      </w:r>
      <w:r w:rsidRPr="007248DE">
        <w:t xml:space="preserve">since </w:t>
      </w:r>
      <w:r w:rsidR="00F60249">
        <w:t>p</w:t>
      </w:r>
      <w:r w:rsidRPr="007248DE">
        <w:t>romotion</w:t>
      </w:r>
      <w:r w:rsidR="00A91290">
        <w:t xml:space="preserve"> or </w:t>
      </w:r>
      <w:r w:rsidR="007622CB">
        <w:t>appointment</w:t>
      </w:r>
      <w:r w:rsidRPr="007248DE">
        <w:t xml:space="preserve"> to Associate Research Professor.</w:t>
      </w:r>
    </w:p>
    <w:p w14:paraId="4A7949D6" w14:textId="77777777" w:rsidR="00746F7B" w:rsidRDefault="00746F7B" w:rsidP="00094263">
      <w:pPr>
        <w:tabs>
          <w:tab w:val="left" w:pos="180"/>
        </w:tabs>
        <w:ind w:left="1080"/>
      </w:pPr>
    </w:p>
    <w:p w14:paraId="2A1271C8" w14:textId="029A1741" w:rsidR="00CC65C7" w:rsidRDefault="00CC65C7" w:rsidP="00094263">
      <w:pPr>
        <w:tabs>
          <w:tab w:val="left" w:pos="180"/>
        </w:tabs>
        <w:ind w:left="1080"/>
      </w:pPr>
      <w:r w:rsidRPr="007248DE">
        <w:t>Associate Research Professors may engage in mentoring activities of post-doctoral, doctoral, and undergraduate students, including participating in Honors, Master’s and Ph.D. committees</w:t>
      </w:r>
      <w:r w:rsidR="007622CB">
        <w:t xml:space="preserve"> as well as service to the community, institution, and discipline</w:t>
      </w:r>
      <w:r w:rsidRPr="007248DE">
        <w:t xml:space="preserve">. </w:t>
      </w:r>
      <w:r w:rsidR="007622CB">
        <w:t>These activities</w:t>
      </w:r>
      <w:r w:rsidRPr="007248DE">
        <w:t xml:space="preserve"> may </w:t>
      </w:r>
      <w:r w:rsidR="007622CB">
        <w:t xml:space="preserve">be </w:t>
      </w:r>
      <w:r w:rsidRPr="007248DE">
        <w:t>consider</w:t>
      </w:r>
      <w:r w:rsidR="007622CB">
        <w:t>ed</w:t>
      </w:r>
      <w:r w:rsidRPr="007248DE">
        <w:t xml:space="preserve"> however, </w:t>
      </w:r>
      <w:r w:rsidRPr="00AA1EB2">
        <w:t>the</w:t>
      </w:r>
      <w:r w:rsidR="007622CB">
        <w:t>y</w:t>
      </w:r>
      <w:r w:rsidRPr="00AA1EB2">
        <w:t xml:space="preserve"> will not compensate </w:t>
      </w:r>
      <w:r w:rsidRPr="007248DE">
        <w:t>for the lack of evidence that the candidate has established him/herself as a prominent contributor to the research enterprise.</w:t>
      </w:r>
    </w:p>
    <w:p w14:paraId="20A3D3BC" w14:textId="77777777" w:rsidR="00CC65C7" w:rsidRPr="00BC0FA3" w:rsidRDefault="00CC65C7" w:rsidP="00094263">
      <w:pPr>
        <w:pStyle w:val="ListParagraph"/>
        <w:ind w:left="1440"/>
        <w:rPr>
          <w:b/>
        </w:rPr>
      </w:pPr>
    </w:p>
    <w:p w14:paraId="47FE911D" w14:textId="77777777" w:rsidR="00B831B7" w:rsidRDefault="00B831B7" w:rsidP="00094263">
      <w:pPr>
        <w:pStyle w:val="ListParagraph"/>
        <w:numPr>
          <w:ilvl w:val="0"/>
          <w:numId w:val="3"/>
        </w:numPr>
        <w:rPr>
          <w:b/>
        </w:rPr>
      </w:pPr>
      <w:r w:rsidRPr="00BC0FA3">
        <w:rPr>
          <w:b/>
        </w:rPr>
        <w:t xml:space="preserve">Promotion from </w:t>
      </w:r>
      <w:r w:rsidR="00CC65C7">
        <w:rPr>
          <w:b/>
        </w:rPr>
        <w:t>Assistant Academic Professional to Associate Academic Professional</w:t>
      </w:r>
    </w:p>
    <w:p w14:paraId="0C11D9C2" w14:textId="77777777" w:rsidR="00CC65C7" w:rsidRDefault="00CC65C7" w:rsidP="00094263">
      <w:pPr>
        <w:ind w:left="1080"/>
        <w:rPr>
          <w:b/>
        </w:rPr>
      </w:pPr>
    </w:p>
    <w:p w14:paraId="23DBA140" w14:textId="349D11AB" w:rsidR="00D803FE" w:rsidRDefault="007622CB" w:rsidP="00094263">
      <w:pPr>
        <w:ind w:left="1080"/>
      </w:pPr>
      <w:r>
        <w:t>Academic Professionals (any title) seeking promotion to the Associate level must have a minimum of five years’ experience in rank at ASU and</w:t>
      </w:r>
      <w:r w:rsidR="00F52EFC" w:rsidRPr="009C7308">
        <w:t xml:space="preserve"> </w:t>
      </w:r>
      <w:r w:rsidRPr="007622CB">
        <w:t xml:space="preserve">must demonstrate excellence in position effectiveness, continued professional contributions, and growth and involvement in institutional, professional, and community service. </w:t>
      </w:r>
      <w:r>
        <w:t xml:space="preserve">Candidates </w:t>
      </w:r>
      <w:r w:rsidR="00D23FBA" w:rsidRPr="00D23FBA">
        <w:t xml:space="preserve">must have attained considerable expertise in the areas of competence required of </w:t>
      </w:r>
      <w:r w:rsidR="00A275E8">
        <w:t>his</w:t>
      </w:r>
      <w:r>
        <w:t>/</w:t>
      </w:r>
      <w:r w:rsidR="00A275E8">
        <w:t>her</w:t>
      </w:r>
      <w:r w:rsidR="00D23FBA" w:rsidRPr="00D23FBA">
        <w:t xml:space="preserve"> position.</w:t>
      </w:r>
      <w:r w:rsidR="00D23FBA">
        <w:t xml:space="preserve"> </w:t>
      </w:r>
      <w:r w:rsidR="009C7308">
        <w:t>Evidence will vary</w:t>
      </w:r>
      <w:r w:rsidR="00F52EFC" w:rsidRPr="009C7308">
        <w:t xml:space="preserve"> considerably depending on the </w:t>
      </w:r>
      <w:r w:rsidR="000B1BEA">
        <w:t>candidate’s position description</w:t>
      </w:r>
      <w:r w:rsidR="009C7308">
        <w:t xml:space="preserve">.  </w:t>
      </w:r>
      <w:r w:rsidR="00D803FE">
        <w:t>Evidence might include:</w:t>
      </w:r>
    </w:p>
    <w:p w14:paraId="3BC5C973" w14:textId="77777777" w:rsidR="00D803FE" w:rsidRDefault="00D803FE" w:rsidP="00094263">
      <w:pPr>
        <w:ind w:left="1080"/>
      </w:pPr>
    </w:p>
    <w:p w14:paraId="2DCE1945" w14:textId="77777777" w:rsidR="000B1BEA" w:rsidRDefault="00024623" w:rsidP="00094263">
      <w:pPr>
        <w:pStyle w:val="ListParagraph"/>
        <w:numPr>
          <w:ilvl w:val="0"/>
          <w:numId w:val="10"/>
        </w:numPr>
        <w:ind w:left="1440"/>
      </w:pPr>
      <w:r>
        <w:t>Reports on p</w:t>
      </w:r>
      <w:r w:rsidR="000B1BEA">
        <w:t xml:space="preserve">rojects </w:t>
      </w:r>
      <w:r w:rsidR="009B377C">
        <w:t>undertaken</w:t>
      </w:r>
      <w:r w:rsidR="000B1BEA">
        <w:t>, and data about their positive impact</w:t>
      </w:r>
      <w:r>
        <w:t>.</w:t>
      </w:r>
    </w:p>
    <w:p w14:paraId="56AC3366" w14:textId="77777777" w:rsidR="009B377C" w:rsidRDefault="00024623" w:rsidP="00094263">
      <w:pPr>
        <w:pStyle w:val="ListParagraph"/>
        <w:numPr>
          <w:ilvl w:val="0"/>
          <w:numId w:val="10"/>
        </w:numPr>
        <w:ind w:left="1440"/>
      </w:pPr>
      <w:r>
        <w:t xml:space="preserve">Documentation </w:t>
      </w:r>
      <w:r w:rsidR="009B377C">
        <w:t>of new skills and knowledge, with evidence of their positive impact</w:t>
      </w:r>
      <w:r>
        <w:t>.</w:t>
      </w:r>
    </w:p>
    <w:p w14:paraId="273CA6E6" w14:textId="77777777" w:rsidR="000B1BEA" w:rsidRDefault="00024623" w:rsidP="00094263">
      <w:pPr>
        <w:pStyle w:val="ListParagraph"/>
        <w:numPr>
          <w:ilvl w:val="0"/>
          <w:numId w:val="10"/>
        </w:numPr>
        <w:ind w:left="1440"/>
      </w:pPr>
      <w:r>
        <w:t>Descriptions of s</w:t>
      </w:r>
      <w:r w:rsidR="000B1BEA">
        <w:t>haring of skills and expertise with professionals within or beyond the unit</w:t>
      </w:r>
      <w:r>
        <w:t>.</w:t>
      </w:r>
    </w:p>
    <w:p w14:paraId="5CDB8D09" w14:textId="77777777" w:rsidR="000B1BEA" w:rsidRDefault="000B1BEA" w:rsidP="00094263">
      <w:pPr>
        <w:pStyle w:val="ListParagraph"/>
        <w:numPr>
          <w:ilvl w:val="0"/>
          <w:numId w:val="10"/>
        </w:numPr>
        <w:ind w:left="1440"/>
      </w:pPr>
      <w:r>
        <w:t>Letters of support from faculty or other professional</w:t>
      </w:r>
      <w:r w:rsidR="009B377C">
        <w:t>s</w:t>
      </w:r>
      <w:r>
        <w:t xml:space="preserve"> who have collaborated with the candidate</w:t>
      </w:r>
      <w:r w:rsidR="00024623">
        <w:t>.</w:t>
      </w:r>
    </w:p>
    <w:p w14:paraId="6DBE770C" w14:textId="77777777" w:rsidR="0005544F" w:rsidRDefault="0005544F" w:rsidP="00094263">
      <w:pPr>
        <w:pStyle w:val="ListParagraph"/>
        <w:numPr>
          <w:ilvl w:val="0"/>
          <w:numId w:val="10"/>
        </w:numPr>
        <w:ind w:left="1440"/>
      </w:pPr>
      <w:r>
        <w:t>Awards or recognition of achievement.</w:t>
      </w:r>
    </w:p>
    <w:p w14:paraId="3EE9ECF6" w14:textId="77777777" w:rsidR="0005544F" w:rsidRDefault="0005544F" w:rsidP="00094263">
      <w:pPr>
        <w:pStyle w:val="ListParagraph"/>
        <w:numPr>
          <w:ilvl w:val="0"/>
          <w:numId w:val="10"/>
        </w:numPr>
        <w:ind w:left="1440"/>
      </w:pPr>
      <w:r>
        <w:t>Publications (including software development) of or referencing the candidate’s work.</w:t>
      </w:r>
    </w:p>
    <w:p w14:paraId="2F347EE5" w14:textId="77777777" w:rsidR="00350FA0" w:rsidRDefault="00350FA0" w:rsidP="00094263">
      <w:pPr>
        <w:pStyle w:val="ListParagraph"/>
        <w:numPr>
          <w:ilvl w:val="0"/>
          <w:numId w:val="10"/>
        </w:numPr>
        <w:ind w:left="1440"/>
      </w:pPr>
      <w:r>
        <w:t>Class evaluations.</w:t>
      </w:r>
    </w:p>
    <w:p w14:paraId="0BF4F5C1" w14:textId="77777777" w:rsidR="00E94113" w:rsidRPr="00E94113" w:rsidRDefault="00E94113" w:rsidP="00094263">
      <w:pPr>
        <w:ind w:left="1080"/>
        <w:rPr>
          <w:rFonts w:ascii="Cambria" w:hAnsi="Cambria" w:cs="Times New Roman"/>
        </w:rPr>
      </w:pPr>
    </w:p>
    <w:p w14:paraId="4F84A96E" w14:textId="08BB8C24" w:rsidR="00E94113" w:rsidRPr="00E94113" w:rsidRDefault="00E94113" w:rsidP="00094263">
      <w:pPr>
        <w:ind w:left="1080"/>
        <w:rPr>
          <w:rFonts w:ascii="Cambria" w:hAnsi="Cambria" w:cs="Times New Roman"/>
        </w:rPr>
      </w:pPr>
      <w:r w:rsidRPr="00E94113">
        <w:rPr>
          <w:rFonts w:ascii="Cambria" w:hAnsi="Cambria" w:cs="Times New Roman"/>
        </w:rPr>
        <w:t xml:space="preserve">Although responsibilities vary among different academic professionals, there should be evidence </w:t>
      </w:r>
      <w:r w:rsidR="007622CB">
        <w:rPr>
          <w:rFonts w:ascii="Cambria" w:hAnsi="Cambria" w:cs="Times New Roman"/>
        </w:rPr>
        <w:t>of excellence in the candidate’s contribution</w:t>
      </w:r>
      <w:r w:rsidRPr="00E94113">
        <w:rPr>
          <w:rFonts w:ascii="Cambria" w:hAnsi="Cambria" w:cs="Times New Roman"/>
        </w:rPr>
        <w:t xml:space="preserve"> to the success of the School’s mission. Not only does the quantity of the candidate’s work provide evidence </w:t>
      </w:r>
      <w:r w:rsidR="0005544F">
        <w:rPr>
          <w:rFonts w:ascii="Cambria" w:hAnsi="Cambria" w:cs="Times New Roman"/>
        </w:rPr>
        <w:t>for promotion</w:t>
      </w:r>
      <w:r w:rsidR="007622CB">
        <w:rPr>
          <w:rFonts w:ascii="Cambria" w:hAnsi="Cambria" w:cs="Times New Roman"/>
        </w:rPr>
        <w:t>,</w:t>
      </w:r>
      <w:r w:rsidR="0005544F">
        <w:rPr>
          <w:rFonts w:ascii="Cambria" w:hAnsi="Cambria" w:cs="Times New Roman"/>
        </w:rPr>
        <w:t xml:space="preserve"> </w:t>
      </w:r>
      <w:r w:rsidR="00187723" w:rsidRPr="00E94113">
        <w:rPr>
          <w:rFonts w:ascii="Cambria" w:hAnsi="Cambria" w:cs="Times New Roman"/>
        </w:rPr>
        <w:t>but also</w:t>
      </w:r>
      <w:r w:rsidRPr="00E94113">
        <w:rPr>
          <w:rFonts w:ascii="Cambria" w:hAnsi="Cambria" w:cs="Times New Roman"/>
        </w:rPr>
        <w:t xml:space="preserve"> the quality</w:t>
      </w:r>
      <w:r w:rsidR="0005544F">
        <w:rPr>
          <w:rFonts w:ascii="Cambria" w:hAnsi="Cambria" w:cs="Times New Roman"/>
        </w:rPr>
        <w:t xml:space="preserve"> of </w:t>
      </w:r>
      <w:r w:rsidR="00187723">
        <w:rPr>
          <w:rFonts w:ascii="Cambria" w:hAnsi="Cambria" w:cs="Times New Roman"/>
        </w:rPr>
        <w:t xml:space="preserve">their </w:t>
      </w:r>
      <w:r w:rsidR="00187723" w:rsidRPr="00E94113">
        <w:rPr>
          <w:rFonts w:ascii="Cambria" w:hAnsi="Cambria" w:cs="Times New Roman"/>
        </w:rPr>
        <w:t>leadership</w:t>
      </w:r>
      <w:r w:rsidRPr="00E94113">
        <w:rPr>
          <w:rFonts w:ascii="Cambria" w:hAnsi="Cambria" w:cs="Times New Roman"/>
        </w:rPr>
        <w:t xml:space="preserve"> and vision </w:t>
      </w:r>
      <w:r w:rsidR="0005544F">
        <w:rPr>
          <w:rFonts w:ascii="Cambria" w:hAnsi="Cambria" w:cs="Times New Roman"/>
        </w:rPr>
        <w:t>should be taken into consideration.</w:t>
      </w:r>
    </w:p>
    <w:p w14:paraId="2F64C345" w14:textId="77777777" w:rsidR="00776763" w:rsidRPr="00CC65C7" w:rsidRDefault="00776763" w:rsidP="00094263">
      <w:pPr>
        <w:ind w:left="1080"/>
        <w:rPr>
          <w:b/>
        </w:rPr>
      </w:pPr>
    </w:p>
    <w:p w14:paraId="47A3ED88" w14:textId="77777777" w:rsidR="00CC65C7" w:rsidRDefault="00CC65C7" w:rsidP="00094263">
      <w:pPr>
        <w:pStyle w:val="ListParagraph"/>
        <w:numPr>
          <w:ilvl w:val="0"/>
          <w:numId w:val="3"/>
        </w:numPr>
        <w:rPr>
          <w:b/>
        </w:rPr>
      </w:pPr>
      <w:r w:rsidRPr="00BC0FA3">
        <w:rPr>
          <w:b/>
        </w:rPr>
        <w:t xml:space="preserve">Promotion from </w:t>
      </w:r>
      <w:r>
        <w:rPr>
          <w:b/>
        </w:rPr>
        <w:t>Associate Academic Professional to Full/Senior Academic Professional</w:t>
      </w:r>
    </w:p>
    <w:p w14:paraId="76DC4E79" w14:textId="77777777" w:rsidR="00CC65C7" w:rsidRPr="00CC65C7" w:rsidRDefault="00CC65C7" w:rsidP="00094263">
      <w:pPr>
        <w:rPr>
          <w:b/>
        </w:rPr>
      </w:pPr>
    </w:p>
    <w:p w14:paraId="7CBB7083" w14:textId="64802D2A" w:rsidR="00C62E1D" w:rsidRDefault="007865FC" w:rsidP="00094263">
      <w:pPr>
        <w:tabs>
          <w:tab w:val="left" w:pos="1080"/>
        </w:tabs>
        <w:ind w:left="1080"/>
      </w:pPr>
      <w:r>
        <w:t>Academic Professionals (any title) seeking promotion to the Full rank must have a minimum of seven years’ experience in rank at ASU and</w:t>
      </w:r>
      <w:r w:rsidRPr="009C7308">
        <w:t xml:space="preserve"> </w:t>
      </w:r>
      <w:r w:rsidRPr="007622CB">
        <w:t>must demonstrate excellence in position effectiveness, continued professional contributions, and growth and involvement in institutional, prof</w:t>
      </w:r>
      <w:r>
        <w:t>essional, and community service.</w:t>
      </w:r>
      <w:r w:rsidR="009B377C">
        <w:t xml:space="preserve"> </w:t>
      </w:r>
      <w:r>
        <w:t xml:space="preserve">Candidates </w:t>
      </w:r>
      <w:r w:rsidR="009B377C" w:rsidRPr="009B377C">
        <w:t xml:space="preserve">should be considered experts in their chosen fields. </w:t>
      </w:r>
      <w:r w:rsidR="00E94113" w:rsidRPr="00737EA6">
        <w:t>When a candidate seeks promotion from Associate Academic Professional to Full/Senior Academic Profession</w:t>
      </w:r>
      <w:r>
        <w:t>al</w:t>
      </w:r>
      <w:r w:rsidR="00E94113" w:rsidRPr="00737EA6">
        <w:t xml:space="preserve">, there should be demonstrated growth and leadership in the professional </w:t>
      </w:r>
      <w:r w:rsidR="009B377C">
        <w:t>contributions</w:t>
      </w:r>
      <w:r w:rsidR="00E94113" w:rsidRPr="00737EA6">
        <w:t xml:space="preserve">. </w:t>
      </w:r>
      <w:r w:rsidR="009B377C">
        <w:t>Types of evidence may be similar to those provided for promotion to Associate Academic Professional, but should demonstrate</w:t>
      </w:r>
      <w:r w:rsidR="00E94113" w:rsidRPr="00737EA6">
        <w:t xml:space="preserve"> that </w:t>
      </w:r>
      <w:r w:rsidR="009B377C">
        <w:t xml:space="preserve">accomplishments </w:t>
      </w:r>
      <w:r w:rsidR="00E94113" w:rsidRPr="00737EA6">
        <w:t xml:space="preserve">exceed the expectations </w:t>
      </w:r>
      <w:r w:rsidR="009B377C">
        <w:t>for</w:t>
      </w:r>
      <w:r w:rsidR="009B377C" w:rsidRPr="00737EA6">
        <w:t xml:space="preserve"> </w:t>
      </w:r>
      <w:r w:rsidR="00E94113" w:rsidRPr="00737EA6">
        <w:t xml:space="preserve">an Associate Academic Professional. </w:t>
      </w:r>
    </w:p>
    <w:p w14:paraId="3DD85BD5" w14:textId="77777777" w:rsidR="00737EA6" w:rsidRDefault="00737EA6" w:rsidP="00094263">
      <w:pPr>
        <w:tabs>
          <w:tab w:val="left" w:pos="1080"/>
        </w:tabs>
        <w:ind w:left="1080"/>
      </w:pPr>
    </w:p>
    <w:p w14:paraId="3047D92A" w14:textId="50D9627C" w:rsidR="00737EA6" w:rsidRDefault="00737EA6" w:rsidP="00094263">
      <w:pPr>
        <w:tabs>
          <w:tab w:val="left" w:pos="1080"/>
        </w:tabs>
        <w:ind w:left="1080"/>
      </w:pPr>
      <w:r>
        <w:t xml:space="preserve">While specific responsibilities vary among different academic professionals, there should be </w:t>
      </w:r>
      <w:r w:rsidR="007865FC">
        <w:t xml:space="preserve">sustained </w:t>
      </w:r>
      <w:r>
        <w:t xml:space="preserve">evidence </w:t>
      </w:r>
      <w:r w:rsidR="007865FC">
        <w:t>o</w:t>
      </w:r>
      <w:r w:rsidR="007865FC">
        <w:rPr>
          <w:rFonts w:ascii="Cambria" w:hAnsi="Cambria" w:cs="Times New Roman"/>
        </w:rPr>
        <w:t xml:space="preserve">f excellence in the candidate’s contribution to the School’s mission as well as evidence that the candidate leads efforts in that regard. </w:t>
      </w:r>
      <w:r>
        <w:t xml:space="preserve">The case must be made that the </w:t>
      </w:r>
      <w:r>
        <w:lastRenderedPageBreak/>
        <w:t xml:space="preserve">candidate is doing more than </w:t>
      </w:r>
      <w:r w:rsidR="004075C2">
        <w:t xml:space="preserve">performing </w:t>
      </w:r>
      <w:r>
        <w:t xml:space="preserve">a set of assigned tasks. Rather the candidate is expected to demonstrate initiative in creating new avenues of </w:t>
      </w:r>
      <w:r w:rsidR="003806BA">
        <w:t xml:space="preserve">professional </w:t>
      </w:r>
      <w:r w:rsidR="00265EBC">
        <w:t xml:space="preserve">activity. </w:t>
      </w:r>
    </w:p>
    <w:p w14:paraId="4F62F17B" w14:textId="77777777" w:rsidR="00632D1E" w:rsidRDefault="00632D1E" w:rsidP="00094263">
      <w:pPr>
        <w:tabs>
          <w:tab w:val="left" w:pos="1080"/>
        </w:tabs>
        <w:ind w:left="1080"/>
      </w:pPr>
    </w:p>
    <w:p w14:paraId="21D6D1A1" w14:textId="77777777" w:rsidR="00632D1E" w:rsidRDefault="00632D1E" w:rsidP="00094263">
      <w:pPr>
        <w:pStyle w:val="ListParagraph"/>
        <w:numPr>
          <w:ilvl w:val="0"/>
          <w:numId w:val="10"/>
        </w:numPr>
        <w:ind w:left="1440"/>
      </w:pPr>
      <w:r>
        <w:t>Reports on projects undertaken, and data about their positive impact.</w:t>
      </w:r>
    </w:p>
    <w:p w14:paraId="4934CE14" w14:textId="77777777" w:rsidR="00632D1E" w:rsidRDefault="00632D1E" w:rsidP="00094263">
      <w:pPr>
        <w:pStyle w:val="ListParagraph"/>
        <w:numPr>
          <w:ilvl w:val="0"/>
          <w:numId w:val="10"/>
        </w:numPr>
        <w:ind w:left="1440"/>
      </w:pPr>
      <w:r>
        <w:t>Documentation of new skills and knowledge, with evidence of their positive impact.</w:t>
      </w:r>
    </w:p>
    <w:p w14:paraId="09D29EC6" w14:textId="77777777" w:rsidR="00632D1E" w:rsidRDefault="00632D1E" w:rsidP="00094263">
      <w:pPr>
        <w:pStyle w:val="ListParagraph"/>
        <w:numPr>
          <w:ilvl w:val="0"/>
          <w:numId w:val="10"/>
        </w:numPr>
        <w:ind w:left="1440"/>
      </w:pPr>
      <w:r>
        <w:t>Descriptions of sharing of skills and expertise with professionals within or beyond the unit.</w:t>
      </w:r>
    </w:p>
    <w:p w14:paraId="7021CCAC" w14:textId="77777777" w:rsidR="00632D1E" w:rsidRDefault="00632D1E" w:rsidP="00094263">
      <w:pPr>
        <w:pStyle w:val="ListParagraph"/>
        <w:numPr>
          <w:ilvl w:val="0"/>
          <w:numId w:val="10"/>
        </w:numPr>
        <w:ind w:left="1440"/>
      </w:pPr>
      <w:r>
        <w:t>Letters of support from faculty or other professionals who have collaborated with the candidate.</w:t>
      </w:r>
    </w:p>
    <w:p w14:paraId="5BB5CBE8" w14:textId="77777777" w:rsidR="00632D1E" w:rsidRDefault="00632D1E" w:rsidP="00094263">
      <w:pPr>
        <w:pStyle w:val="ListParagraph"/>
        <w:numPr>
          <w:ilvl w:val="0"/>
          <w:numId w:val="10"/>
        </w:numPr>
        <w:ind w:left="1440"/>
      </w:pPr>
      <w:r>
        <w:t>Awards or recognition of achievement.</w:t>
      </w:r>
    </w:p>
    <w:p w14:paraId="685C72FF" w14:textId="77777777" w:rsidR="00632D1E" w:rsidRDefault="00632D1E" w:rsidP="00094263">
      <w:pPr>
        <w:pStyle w:val="ListParagraph"/>
        <w:numPr>
          <w:ilvl w:val="0"/>
          <w:numId w:val="10"/>
        </w:numPr>
        <w:ind w:left="1440"/>
      </w:pPr>
      <w:r>
        <w:t>Publications (including software development) of or referencing the candidate’s work.</w:t>
      </w:r>
    </w:p>
    <w:p w14:paraId="3DB49A2C" w14:textId="77777777" w:rsidR="00632D1E" w:rsidRDefault="00632D1E" w:rsidP="00094263">
      <w:pPr>
        <w:pStyle w:val="ListParagraph"/>
        <w:numPr>
          <w:ilvl w:val="0"/>
          <w:numId w:val="10"/>
        </w:numPr>
        <w:ind w:left="1440"/>
      </w:pPr>
      <w:r>
        <w:t>Class evaluations.</w:t>
      </w:r>
    </w:p>
    <w:p w14:paraId="0053C06B" w14:textId="77777777" w:rsidR="00E94113" w:rsidRPr="00CC65C7" w:rsidRDefault="00E94113" w:rsidP="00094263">
      <w:pPr>
        <w:rPr>
          <w:b/>
        </w:rPr>
      </w:pPr>
    </w:p>
    <w:p w14:paraId="280975C1" w14:textId="77777777" w:rsidR="00CC65C7" w:rsidRPr="00BC0FA3" w:rsidRDefault="00CC65C7" w:rsidP="00094263">
      <w:pPr>
        <w:pStyle w:val="ListParagraph"/>
        <w:numPr>
          <w:ilvl w:val="0"/>
          <w:numId w:val="3"/>
        </w:numPr>
        <w:rPr>
          <w:b/>
        </w:rPr>
      </w:pPr>
      <w:r w:rsidRPr="00BC0FA3">
        <w:rPr>
          <w:b/>
        </w:rPr>
        <w:t>Promotion from Lecturer to Senior Lecturer</w:t>
      </w:r>
    </w:p>
    <w:p w14:paraId="0DF73F64" w14:textId="77777777" w:rsidR="000472A2" w:rsidRDefault="000472A2" w:rsidP="00094263">
      <w:pPr>
        <w:ind w:left="1440"/>
      </w:pPr>
    </w:p>
    <w:p w14:paraId="61478BC2" w14:textId="117046C2" w:rsidR="00CC65C7" w:rsidRDefault="007865FC" w:rsidP="00094263">
      <w:pPr>
        <w:ind w:left="1080"/>
      </w:pPr>
      <w:r>
        <w:t xml:space="preserve">Lecturers seeking promotion to </w:t>
      </w:r>
      <w:r w:rsidR="00CC65C7" w:rsidRPr="00161BFB">
        <w:t xml:space="preserve">Senior Lecturer </w:t>
      </w:r>
      <w:r>
        <w:t>must have a minimum of five years’ experience in rank at ASU and</w:t>
      </w:r>
      <w:r w:rsidR="00CC65C7" w:rsidRPr="00161BFB">
        <w:t xml:space="preserve"> provide evidence for continuing and increasing responsibility within the </w:t>
      </w:r>
      <w:r w:rsidR="000472A2">
        <w:t>School</w:t>
      </w:r>
      <w:r w:rsidR="00CC65C7" w:rsidRPr="00161BFB">
        <w:t xml:space="preserve"> for carrying out the teaching mission; evidence may include the following:</w:t>
      </w:r>
      <w:r w:rsidR="00CC65C7" w:rsidRPr="00B861B4">
        <w:t xml:space="preserve"> </w:t>
      </w:r>
    </w:p>
    <w:p w14:paraId="10C986AB" w14:textId="77777777" w:rsidR="000472A2" w:rsidRPr="00B861B4" w:rsidRDefault="000472A2" w:rsidP="00094263">
      <w:pPr>
        <w:ind w:left="1080"/>
      </w:pPr>
    </w:p>
    <w:p w14:paraId="1E4004E5" w14:textId="7F537C90" w:rsidR="007865FC" w:rsidRDefault="007865FC" w:rsidP="00094263">
      <w:pPr>
        <w:pStyle w:val="ListParagraph"/>
        <w:numPr>
          <w:ilvl w:val="0"/>
          <w:numId w:val="6"/>
        </w:numPr>
        <w:ind w:left="1440"/>
      </w:pPr>
      <w:r>
        <w:t xml:space="preserve">Excellence in teaching as demonstrated through student teaching evaluations, peer evaluations, </w:t>
      </w:r>
      <w:r w:rsidR="00632D1E">
        <w:t xml:space="preserve">teaching awards and commendations, </w:t>
      </w:r>
      <w:r>
        <w:t>etc</w:t>
      </w:r>
      <w:r w:rsidR="00632D1E">
        <w:t>.</w:t>
      </w:r>
    </w:p>
    <w:p w14:paraId="19089691" w14:textId="77777777" w:rsidR="00CC65C7" w:rsidRPr="00161BFB" w:rsidRDefault="00CC65C7" w:rsidP="00094263">
      <w:pPr>
        <w:pStyle w:val="ListParagraph"/>
        <w:numPr>
          <w:ilvl w:val="0"/>
          <w:numId w:val="6"/>
        </w:numPr>
        <w:ind w:left="1440"/>
      </w:pPr>
      <w:r w:rsidRPr="00161BFB">
        <w:t>Successful curriculum activity in developing new courses or programs, or redesigning existing courses.</w:t>
      </w:r>
    </w:p>
    <w:p w14:paraId="7984F630" w14:textId="77777777" w:rsidR="00CC65C7" w:rsidRPr="00161BFB" w:rsidRDefault="00CC65C7" w:rsidP="00094263">
      <w:pPr>
        <w:pStyle w:val="ListParagraph"/>
        <w:numPr>
          <w:ilvl w:val="0"/>
          <w:numId w:val="6"/>
        </w:numPr>
        <w:ind w:left="1440"/>
      </w:pPr>
      <w:r w:rsidRPr="00161BFB">
        <w:t>Service to the unit related to the delivery of high-quality instruction (e.g., curriculum committee service, peer mentoring for junior colleagues, multi-section course supervision).</w:t>
      </w:r>
    </w:p>
    <w:p w14:paraId="0E7F2FD9" w14:textId="77777777" w:rsidR="008E5030" w:rsidRPr="00161BFB" w:rsidRDefault="008E5030" w:rsidP="00094263">
      <w:pPr>
        <w:ind w:left="1080"/>
      </w:pPr>
    </w:p>
    <w:p w14:paraId="405B4B9C" w14:textId="08F04B30" w:rsidR="00CC65C7" w:rsidRDefault="007865FC" w:rsidP="00094263">
      <w:pPr>
        <w:ind w:left="1080"/>
      </w:pPr>
      <w:r>
        <w:t>Candidates</w:t>
      </w:r>
      <w:r w:rsidR="00CC65C7" w:rsidRPr="00161BFB">
        <w:t xml:space="preserve"> will also demonstrate interest in the scholarship of teaching and learning</w:t>
      </w:r>
      <w:r>
        <w:t>,</w:t>
      </w:r>
      <w:r w:rsidR="00CC65C7" w:rsidRPr="00161BFB">
        <w:t xml:space="preserve"> and/or the scholarship of one’s disciplinary field.</w:t>
      </w:r>
      <w:r w:rsidR="00CC65C7" w:rsidRPr="00B861B4">
        <w:t xml:space="preserve"> This may be demonstrated through evidence supporting two or more of the following:</w:t>
      </w:r>
    </w:p>
    <w:p w14:paraId="097066DB" w14:textId="77777777" w:rsidR="008E5030" w:rsidRPr="00161BFB" w:rsidRDefault="008E5030" w:rsidP="00094263">
      <w:pPr>
        <w:ind w:left="1080"/>
      </w:pPr>
    </w:p>
    <w:p w14:paraId="3826A877" w14:textId="77777777" w:rsidR="00CC65C7" w:rsidRPr="00161BFB" w:rsidRDefault="00CC65C7" w:rsidP="00094263">
      <w:pPr>
        <w:pStyle w:val="ListParagraph"/>
        <w:numPr>
          <w:ilvl w:val="0"/>
          <w:numId w:val="7"/>
        </w:numPr>
        <w:ind w:left="1440"/>
      </w:pPr>
      <w:r w:rsidRPr="00161BFB">
        <w:t>Part</w:t>
      </w:r>
      <w:r w:rsidR="00A52CA2">
        <w:t xml:space="preserve">icipation in activities such as webinars, workshops, </w:t>
      </w:r>
      <w:r w:rsidR="003313F1">
        <w:t>or clinics</w:t>
      </w:r>
      <w:r w:rsidRPr="00161BFB">
        <w:t xml:space="preserve"> </w:t>
      </w:r>
      <w:r w:rsidR="00A52CA2">
        <w:t>to</w:t>
      </w:r>
      <w:r w:rsidRPr="00161BFB">
        <w:t xml:space="preserve"> enhance the candidate’s teaching.</w:t>
      </w:r>
    </w:p>
    <w:p w14:paraId="3E19ACF4" w14:textId="77777777" w:rsidR="00CC65C7" w:rsidRPr="00161BFB" w:rsidRDefault="00CC65C7" w:rsidP="00094263">
      <w:pPr>
        <w:pStyle w:val="ListParagraph"/>
        <w:numPr>
          <w:ilvl w:val="0"/>
          <w:numId w:val="7"/>
        </w:numPr>
        <w:ind w:left="1440"/>
      </w:pPr>
      <w:r w:rsidRPr="00161BFB">
        <w:t xml:space="preserve">Attendance at </w:t>
      </w:r>
      <w:r w:rsidR="00A52CA2">
        <w:t>one</w:t>
      </w:r>
      <w:r w:rsidRPr="00161BFB">
        <w:t xml:space="preserve"> or more professional disciplinary and/or pedagogical meetings, with at least one presentation </w:t>
      </w:r>
      <w:r w:rsidR="00655994">
        <w:t xml:space="preserve">(oral or poster) </w:t>
      </w:r>
      <w:r w:rsidRPr="00161BFB">
        <w:t xml:space="preserve">given during the previous three years. </w:t>
      </w:r>
    </w:p>
    <w:p w14:paraId="7A0CF0AB" w14:textId="77777777" w:rsidR="00CC65C7" w:rsidRPr="00161BFB" w:rsidRDefault="00CC65C7" w:rsidP="00094263">
      <w:pPr>
        <w:pStyle w:val="ListParagraph"/>
        <w:numPr>
          <w:ilvl w:val="0"/>
          <w:numId w:val="7"/>
        </w:numPr>
        <w:ind w:left="1440"/>
      </w:pPr>
      <w:r w:rsidRPr="00161BFB">
        <w:t>Two or more publications of a disciplinary and/or pedagogical nature.</w:t>
      </w:r>
    </w:p>
    <w:p w14:paraId="5D79BCC4" w14:textId="058129E9" w:rsidR="00CC65C7" w:rsidRPr="00B861B4" w:rsidRDefault="007865FC" w:rsidP="00094263">
      <w:pPr>
        <w:pStyle w:val="ListParagraph"/>
        <w:numPr>
          <w:ilvl w:val="0"/>
          <w:numId w:val="7"/>
        </w:numPr>
        <w:ind w:left="1440"/>
      </w:pPr>
      <w:r>
        <w:t xml:space="preserve">Demonstrated </w:t>
      </w:r>
      <w:r w:rsidR="00CC65C7" w:rsidRPr="00B861B4">
        <w:t>use of new formats or technologies in instruction.</w:t>
      </w:r>
    </w:p>
    <w:p w14:paraId="486F2F52" w14:textId="3F4AF53A" w:rsidR="00CC65C7" w:rsidRDefault="00CC65C7" w:rsidP="00094263">
      <w:pPr>
        <w:pStyle w:val="ListParagraph"/>
        <w:numPr>
          <w:ilvl w:val="0"/>
          <w:numId w:val="6"/>
        </w:numPr>
        <w:ind w:left="1440"/>
      </w:pPr>
      <w:r w:rsidRPr="00161BFB">
        <w:t>Receipt of honors and awards connoting excellence in teaching.</w:t>
      </w:r>
    </w:p>
    <w:p w14:paraId="6C773414" w14:textId="79C9C956" w:rsidR="00A52CA2" w:rsidRDefault="00A52CA2" w:rsidP="00094263">
      <w:pPr>
        <w:pStyle w:val="ListParagraph"/>
        <w:numPr>
          <w:ilvl w:val="0"/>
          <w:numId w:val="6"/>
        </w:numPr>
        <w:ind w:left="1440"/>
      </w:pPr>
      <w:r>
        <w:t>Student mentoring that inc</w:t>
      </w:r>
      <w:r w:rsidR="003313F1">
        <w:t>l</w:t>
      </w:r>
      <w:r>
        <w:t xml:space="preserve">udes undergraduate honor’s students and graduate students </w:t>
      </w:r>
      <w:r w:rsidR="004444B0">
        <w:t xml:space="preserve">that demonstrates ongoing </w:t>
      </w:r>
      <w:r>
        <w:t>commitment and excellence.</w:t>
      </w:r>
    </w:p>
    <w:p w14:paraId="3415D48F" w14:textId="77777777" w:rsidR="00B675B7" w:rsidRDefault="00B675B7" w:rsidP="00094263">
      <w:pPr>
        <w:ind w:left="360"/>
      </w:pPr>
    </w:p>
    <w:p w14:paraId="44883E00" w14:textId="77777777" w:rsidR="00B831B7" w:rsidRPr="00BC0FA3" w:rsidRDefault="00B831B7" w:rsidP="00094263">
      <w:pPr>
        <w:pStyle w:val="ListParagraph"/>
        <w:numPr>
          <w:ilvl w:val="0"/>
          <w:numId w:val="3"/>
        </w:numPr>
        <w:rPr>
          <w:b/>
        </w:rPr>
      </w:pPr>
      <w:r w:rsidRPr="00BC0FA3">
        <w:rPr>
          <w:b/>
        </w:rPr>
        <w:t>Promotion from Senior Lecturer to Principal Lecturer</w:t>
      </w:r>
    </w:p>
    <w:p w14:paraId="39BF6DDA" w14:textId="77777777" w:rsidR="00B675B7" w:rsidRDefault="00B675B7" w:rsidP="00094263"/>
    <w:p w14:paraId="7FE61497" w14:textId="55143736" w:rsidR="00CC65C7" w:rsidRDefault="00B675B7" w:rsidP="00094263">
      <w:pPr>
        <w:ind w:left="1080"/>
      </w:pPr>
      <w:r>
        <w:t>A</w:t>
      </w:r>
      <w:r w:rsidR="00265EBC">
        <w:t xml:space="preserve"> Senior </w:t>
      </w:r>
      <w:r w:rsidR="004444B0">
        <w:t>Lecturer seeking promotion to</w:t>
      </w:r>
      <w:r w:rsidR="00CC65C7" w:rsidRPr="00161BFB">
        <w:t xml:space="preserve"> Principal Lecturer</w:t>
      </w:r>
      <w:r w:rsidR="004444B0">
        <w:t xml:space="preserve"> must have a minimum of seven years’ in rank at ASU and</w:t>
      </w:r>
      <w:r w:rsidR="00CC65C7" w:rsidRPr="00161BFB">
        <w:t xml:space="preserve"> provide evidence</w:t>
      </w:r>
      <w:r w:rsidR="004444B0">
        <w:t xml:space="preserve"> since promotion/appointment to Lecturer Senior</w:t>
      </w:r>
      <w:r w:rsidR="00CC65C7" w:rsidRPr="00161BFB">
        <w:t xml:space="preserve"> for continuing and increasing responsibility within the unit for carrying out the unit’s teaching mission through the following:</w:t>
      </w:r>
    </w:p>
    <w:p w14:paraId="38B0E13D" w14:textId="77777777" w:rsidR="004444B0" w:rsidRDefault="004444B0" w:rsidP="00094263"/>
    <w:p w14:paraId="56E1087B" w14:textId="6A062076" w:rsidR="00265EBC" w:rsidRDefault="004444B0" w:rsidP="00094263">
      <w:pPr>
        <w:pStyle w:val="ListParagraph"/>
        <w:numPr>
          <w:ilvl w:val="0"/>
          <w:numId w:val="6"/>
        </w:numPr>
        <w:ind w:left="1440"/>
      </w:pPr>
      <w:r>
        <w:t xml:space="preserve">Excellence in teaching as demonstrated through student teaching evaluations, peer evaluations, </w:t>
      </w:r>
      <w:r w:rsidR="00F60249">
        <w:t xml:space="preserve">teaching awards and commendations, </w:t>
      </w:r>
      <w:r>
        <w:t>etc</w:t>
      </w:r>
      <w:r w:rsidR="00265EBC">
        <w:t>.</w:t>
      </w:r>
    </w:p>
    <w:p w14:paraId="7BBE72B3" w14:textId="0FFCF068" w:rsidR="00CC65C7" w:rsidRPr="00161BFB" w:rsidRDefault="00CC65C7" w:rsidP="00094263">
      <w:pPr>
        <w:pStyle w:val="ListParagraph"/>
        <w:numPr>
          <w:ilvl w:val="0"/>
          <w:numId w:val="6"/>
        </w:numPr>
        <w:ind w:left="1440"/>
      </w:pPr>
      <w:r w:rsidRPr="00161BFB">
        <w:lastRenderedPageBreak/>
        <w:t>Leadership of curriculum activit</w:t>
      </w:r>
      <w:r w:rsidR="0098366B">
        <w:t>ies</w:t>
      </w:r>
      <w:r w:rsidRPr="00161BFB">
        <w:t xml:space="preserve"> </w:t>
      </w:r>
      <w:r w:rsidR="004444B0">
        <w:t xml:space="preserve">such as </w:t>
      </w:r>
      <w:r w:rsidR="00632D1E">
        <w:t xml:space="preserve">developing </w:t>
      </w:r>
      <w:r w:rsidR="0098366B">
        <w:t xml:space="preserve">new </w:t>
      </w:r>
      <w:r w:rsidRPr="00161BFB">
        <w:t xml:space="preserve">courses </w:t>
      </w:r>
      <w:r w:rsidR="0098366B">
        <w:t>and</w:t>
      </w:r>
      <w:r w:rsidRPr="00161BFB">
        <w:t xml:space="preserve"> programs or redesign</w:t>
      </w:r>
      <w:r w:rsidR="0098366B">
        <w:t>ing</w:t>
      </w:r>
      <w:r w:rsidRPr="00161BFB">
        <w:t xml:space="preserve"> existing </w:t>
      </w:r>
      <w:r w:rsidR="00632D1E">
        <w:t>ones.</w:t>
      </w:r>
    </w:p>
    <w:p w14:paraId="544330DE" w14:textId="77777777" w:rsidR="00CC65C7" w:rsidRDefault="00CC65C7" w:rsidP="00094263">
      <w:pPr>
        <w:pStyle w:val="ListParagraph"/>
        <w:numPr>
          <w:ilvl w:val="0"/>
          <w:numId w:val="6"/>
        </w:numPr>
        <w:ind w:left="1440"/>
      </w:pPr>
      <w:r w:rsidRPr="00161BFB">
        <w:t>Service related to the delivery of high-quality instruction and the scholarship of teaching in the unit (e.g., curriculum committee service, peer mentoring for junior colleagues, multi-section course supervision) and beyond the unit (e.g., college or university curriculum committee; participation and presentations at college, institutional, or regional teaching development workshops; leadership roles in professional organizations)</w:t>
      </w:r>
    </w:p>
    <w:p w14:paraId="7B51A813" w14:textId="77777777" w:rsidR="00B675B7" w:rsidRPr="00161BFB" w:rsidRDefault="00B675B7" w:rsidP="00094263"/>
    <w:p w14:paraId="06A9D964" w14:textId="4037F0B6" w:rsidR="00CC65C7" w:rsidRDefault="004444B0" w:rsidP="00094263">
      <w:pPr>
        <w:ind w:left="1080"/>
      </w:pPr>
      <w:r>
        <w:t>Candidates</w:t>
      </w:r>
      <w:r w:rsidR="00CC65C7" w:rsidRPr="00161BFB">
        <w:t xml:space="preserve"> will also demonstrate leadership in teaching through professional development and other activities related to keeping current with the discipline. This should be demonstrated</w:t>
      </w:r>
      <w:r>
        <w:t xml:space="preserve"> </w:t>
      </w:r>
      <w:r w:rsidR="00CC65C7" w:rsidRPr="00161BFB">
        <w:t>through evidence supporting two or more of the following</w:t>
      </w:r>
      <w:r>
        <w:t xml:space="preserve"> achievements since promotion/appointment to Lecturer Senior</w:t>
      </w:r>
      <w:r w:rsidR="00CC65C7" w:rsidRPr="00161BFB">
        <w:t>:</w:t>
      </w:r>
    </w:p>
    <w:p w14:paraId="3D0587CD" w14:textId="77777777" w:rsidR="00B675B7" w:rsidRPr="00161BFB" w:rsidRDefault="00B675B7" w:rsidP="00094263">
      <w:pPr>
        <w:ind w:left="1440"/>
      </w:pPr>
    </w:p>
    <w:p w14:paraId="18379F56" w14:textId="77777777" w:rsidR="00CC65C7" w:rsidRPr="00161BFB" w:rsidRDefault="00CC65C7" w:rsidP="00094263">
      <w:pPr>
        <w:pStyle w:val="ListParagraph"/>
        <w:numPr>
          <w:ilvl w:val="0"/>
          <w:numId w:val="7"/>
        </w:numPr>
        <w:ind w:left="1440"/>
      </w:pPr>
      <w:r w:rsidRPr="00161BFB">
        <w:t xml:space="preserve">Key participation </w:t>
      </w:r>
      <w:r w:rsidR="00A52CA2">
        <w:t xml:space="preserve">and leadership </w:t>
      </w:r>
      <w:r w:rsidRPr="00161BFB">
        <w:t>in the organiz</w:t>
      </w:r>
      <w:r w:rsidR="00655994">
        <w:t xml:space="preserve">ation of </w:t>
      </w:r>
      <w:r w:rsidR="00A52CA2">
        <w:t xml:space="preserve">webinars, </w:t>
      </w:r>
      <w:r w:rsidR="00655994">
        <w:t xml:space="preserve">workshops, clinics, and support activities </w:t>
      </w:r>
      <w:r w:rsidRPr="00161BFB">
        <w:t xml:space="preserve">that enhance teaching at the </w:t>
      </w:r>
      <w:r w:rsidR="00655994">
        <w:t xml:space="preserve">unit, </w:t>
      </w:r>
      <w:r w:rsidRPr="00161BFB">
        <w:t xml:space="preserve">institutional level or beyond. </w:t>
      </w:r>
      <w:r w:rsidR="00655994">
        <w:t>For example, creating and disseminating a manual of “best practices</w:t>
      </w:r>
      <w:r w:rsidR="00A52CA2">
        <w:t>.</w:t>
      </w:r>
      <w:r w:rsidR="00655994">
        <w:t>”</w:t>
      </w:r>
    </w:p>
    <w:p w14:paraId="28E8743F" w14:textId="3D1A4278" w:rsidR="00CC65C7" w:rsidRPr="00161BFB" w:rsidRDefault="00CC65C7" w:rsidP="00094263">
      <w:pPr>
        <w:pStyle w:val="ListParagraph"/>
        <w:numPr>
          <w:ilvl w:val="0"/>
          <w:numId w:val="7"/>
        </w:numPr>
        <w:ind w:left="1440"/>
      </w:pPr>
      <w:r w:rsidRPr="00161BFB">
        <w:t xml:space="preserve">Attendance at two or more professional disciplinary and/or pedagogical meetings, with at least one </w:t>
      </w:r>
      <w:r w:rsidR="00A52CA2">
        <w:t xml:space="preserve">oral </w:t>
      </w:r>
      <w:r w:rsidRPr="00161BFB">
        <w:t xml:space="preserve">presentation given during the previous three years. </w:t>
      </w:r>
    </w:p>
    <w:p w14:paraId="78C04BBB" w14:textId="3374D2F5" w:rsidR="00CC65C7" w:rsidRPr="00161BFB" w:rsidRDefault="00CC65C7" w:rsidP="00094263">
      <w:pPr>
        <w:pStyle w:val="ListParagraph"/>
        <w:numPr>
          <w:ilvl w:val="0"/>
          <w:numId w:val="7"/>
        </w:numPr>
        <w:ind w:left="1440"/>
      </w:pPr>
      <w:r w:rsidRPr="00161BFB">
        <w:t>Two or more publications of a disciplinary and/or pedagogical nature with the candidate as a primary author.</w:t>
      </w:r>
    </w:p>
    <w:p w14:paraId="042643A4" w14:textId="23CDC0EB" w:rsidR="00A52CA2" w:rsidRDefault="00CC65C7" w:rsidP="00094263">
      <w:pPr>
        <w:pStyle w:val="ListParagraph"/>
        <w:numPr>
          <w:ilvl w:val="0"/>
          <w:numId w:val="6"/>
        </w:numPr>
        <w:ind w:left="1440"/>
      </w:pPr>
      <w:r w:rsidRPr="00161BFB">
        <w:t>Receipt of honors and awards connoting excellence in teaching.</w:t>
      </w:r>
      <w:r w:rsidR="00A52CA2" w:rsidRPr="00A52CA2">
        <w:t xml:space="preserve"> </w:t>
      </w:r>
    </w:p>
    <w:p w14:paraId="4AFDA40C" w14:textId="276ECEE4" w:rsidR="00CC65C7" w:rsidRPr="00161BFB" w:rsidRDefault="00A52CA2" w:rsidP="00094263">
      <w:pPr>
        <w:pStyle w:val="ListParagraph"/>
        <w:numPr>
          <w:ilvl w:val="0"/>
          <w:numId w:val="6"/>
        </w:numPr>
        <w:ind w:left="1440"/>
      </w:pPr>
      <w:r>
        <w:t xml:space="preserve">Student mentoring that incudes undergraduate honor’s students and graduate students </w:t>
      </w:r>
      <w:r w:rsidR="004444B0">
        <w:t xml:space="preserve">that demonstrates </w:t>
      </w:r>
      <w:r>
        <w:t>commitment and excellence.</w:t>
      </w:r>
    </w:p>
    <w:p w14:paraId="7F8B4668" w14:textId="77777777" w:rsidR="00B831B7" w:rsidRDefault="00B831B7" w:rsidP="00094263">
      <w:pPr>
        <w:pStyle w:val="ListParagraph"/>
        <w:ind w:left="1080"/>
      </w:pPr>
    </w:p>
    <w:p w14:paraId="1D19131F" w14:textId="77777777" w:rsidR="00B831B7" w:rsidRDefault="00B831B7" w:rsidP="00094263">
      <w:pPr>
        <w:pStyle w:val="ListParagraph"/>
        <w:numPr>
          <w:ilvl w:val="0"/>
          <w:numId w:val="1"/>
        </w:numPr>
        <w:rPr>
          <w:b/>
        </w:rPr>
      </w:pPr>
      <w:r w:rsidRPr="00970B82">
        <w:rPr>
          <w:b/>
        </w:rPr>
        <w:t>Annual Performance Review</w:t>
      </w:r>
    </w:p>
    <w:p w14:paraId="65FF522B" w14:textId="77777777" w:rsidR="00BA2A2F" w:rsidRDefault="00BA2A2F" w:rsidP="00094263">
      <w:pPr>
        <w:ind w:left="360"/>
        <w:rPr>
          <w:b/>
        </w:rPr>
      </w:pPr>
    </w:p>
    <w:p w14:paraId="0F002785" w14:textId="77777777" w:rsidR="00BA2A2F" w:rsidRDefault="00BA2A2F" w:rsidP="00094263">
      <w:pPr>
        <w:ind w:left="360"/>
      </w:pPr>
      <w:r>
        <w:t>Annual performance evaluations are carried out following the regulations identified in ACD 506-10 (TT faculty</w:t>
      </w:r>
      <w:r w:rsidR="00187723">
        <w:t xml:space="preserve"> </w:t>
      </w:r>
      <w:r w:rsidR="003313F1">
        <w:t>and fixed</w:t>
      </w:r>
      <w:r w:rsidR="00B5683E">
        <w:t xml:space="preserve"> term faculty</w:t>
      </w:r>
      <w:r>
        <w:t xml:space="preserve">), ACD 507-08 (academic professionals), </w:t>
      </w:r>
      <w:r w:rsidR="00B5683E">
        <w:t>and the guidelines provided by CLAS (</w:t>
      </w:r>
      <w:hyperlink r:id="rId10" w:history="1">
        <w:r w:rsidR="00B5683E" w:rsidRPr="00F23E12">
          <w:rPr>
            <w:rStyle w:val="Hyperlink"/>
          </w:rPr>
          <w:t>https://clas.asu.edu/faculty-and-staff/academic-personnel</w:t>
        </w:r>
      </w:hyperlink>
      <w:r w:rsidR="00B5683E">
        <w:t xml:space="preserve">). </w:t>
      </w:r>
    </w:p>
    <w:p w14:paraId="13F8E260" w14:textId="77777777" w:rsidR="00B5683E" w:rsidRDefault="00B5683E" w:rsidP="00094263">
      <w:pPr>
        <w:ind w:left="360"/>
      </w:pPr>
    </w:p>
    <w:p w14:paraId="4E11342C" w14:textId="670EDBA9" w:rsidR="00B5683E" w:rsidRDefault="00187723" w:rsidP="00094263">
      <w:pPr>
        <w:ind w:left="360"/>
      </w:pPr>
      <w:r>
        <w:t>P</w:t>
      </w:r>
      <w:r w:rsidR="00B5683E">
        <w:t xml:space="preserve">erformance </w:t>
      </w:r>
      <w:r>
        <w:t xml:space="preserve">is evaluated over </w:t>
      </w:r>
      <w:r w:rsidR="00B5683E">
        <w:t xml:space="preserve">a </w:t>
      </w:r>
      <w:r w:rsidR="00014D61">
        <w:t>36 month</w:t>
      </w:r>
      <w:r w:rsidR="00B5683E">
        <w:t xml:space="preserve"> moving window</w:t>
      </w:r>
      <w:r w:rsidR="00014D61">
        <w:t xml:space="preserve"> but with substantial emphasis on the current year</w:t>
      </w:r>
      <w:r w:rsidR="00B5683E">
        <w:t>. The performance review is carried out following the completion of the last calendar year in the review period using the time frame defined by CLAS procedures.</w:t>
      </w:r>
    </w:p>
    <w:p w14:paraId="050B57C7" w14:textId="77777777" w:rsidR="00B5683E" w:rsidRDefault="00B5683E" w:rsidP="00094263">
      <w:pPr>
        <w:ind w:left="360"/>
      </w:pPr>
    </w:p>
    <w:p w14:paraId="1F330DF7" w14:textId="7C0E7D8A" w:rsidR="00301DA2" w:rsidRDefault="00774462" w:rsidP="00094263">
      <w:pPr>
        <w:ind w:left="360"/>
      </w:pPr>
      <w:r>
        <w:t xml:space="preserve">For </w:t>
      </w:r>
      <w:r w:rsidR="00265EBC">
        <w:t>tenure-track</w:t>
      </w:r>
      <w:r w:rsidR="00B80EFB">
        <w:t xml:space="preserve"> and fixed-term </w:t>
      </w:r>
      <w:r>
        <w:t xml:space="preserve">faculty, the review evaluates </w:t>
      </w:r>
      <w:r w:rsidR="00B5683E">
        <w:t xml:space="preserve">performance in research, teaching, and service/outreach using the relative contribution of each as defined by the workload percentages. </w:t>
      </w:r>
      <w:r w:rsidR="004444B0">
        <w:t xml:space="preserve">Annual workload </w:t>
      </w:r>
      <w:r w:rsidR="00B5683E">
        <w:t xml:space="preserve">percentages are </w:t>
      </w:r>
      <w:r w:rsidR="004444B0">
        <w:t xml:space="preserve">determined by the School Director </w:t>
      </w:r>
      <w:r w:rsidR="00BC1652">
        <w:t xml:space="preserve">or his/her designee </w:t>
      </w:r>
      <w:r w:rsidR="004444B0">
        <w:t>in consultation with the faculty member. Typically, workload assignments for a given year will be communicated in the prior year.</w:t>
      </w:r>
    </w:p>
    <w:p w14:paraId="04AB77B4" w14:textId="77777777" w:rsidR="00B5683E" w:rsidRDefault="00B5683E" w:rsidP="00094263">
      <w:pPr>
        <w:ind w:left="360"/>
      </w:pPr>
    </w:p>
    <w:p w14:paraId="411BE5FE" w14:textId="7441B040" w:rsidR="00B5683E" w:rsidRDefault="00B5683E" w:rsidP="00094263">
      <w:pPr>
        <w:ind w:left="360"/>
      </w:pPr>
      <w:r>
        <w:t>There is no ‘standard’ workload in the School</w:t>
      </w:r>
      <w:r w:rsidR="00265EBC">
        <w:t xml:space="preserve">. Rather, it </w:t>
      </w:r>
      <w:r w:rsidR="003313F1">
        <w:t xml:space="preserve">is </w:t>
      </w:r>
      <w:r w:rsidR="00265EBC">
        <w:t xml:space="preserve">determined </w:t>
      </w:r>
      <w:r>
        <w:t xml:space="preserve">annually </w:t>
      </w:r>
      <w:r w:rsidR="00265EBC">
        <w:t xml:space="preserve">through negotiation </w:t>
      </w:r>
      <w:r>
        <w:t xml:space="preserve">between the faculty </w:t>
      </w:r>
      <w:r w:rsidR="00812F22">
        <w:t xml:space="preserve">member </w:t>
      </w:r>
      <w:r>
        <w:t xml:space="preserve">and the Director. Workloads are divided between teaching, research, and service. One 3 credit hour class typically counts as 10% of the load. Standard service is 20%. For </w:t>
      </w:r>
      <w:r w:rsidR="00265EBC">
        <w:t>tenure-track</w:t>
      </w:r>
      <w:r>
        <w:t xml:space="preserve"> faculty, </w:t>
      </w:r>
      <w:r w:rsidR="00BC1652">
        <w:t>it is expected that there will be a</w:t>
      </w:r>
      <w:r>
        <w:t xml:space="preserve"> percentage &gt;0% in all </w:t>
      </w:r>
      <w:r w:rsidR="003313F1">
        <w:t xml:space="preserve">three </w:t>
      </w:r>
      <w:r>
        <w:t>categories. For fixed term faculty, one or more category may have 0%. The School’s Personnel Committee may play an advisory role to the Director in workload agreements.</w:t>
      </w:r>
    </w:p>
    <w:p w14:paraId="6653248D" w14:textId="77777777" w:rsidR="00774462" w:rsidRDefault="00774462" w:rsidP="00094263">
      <w:pPr>
        <w:ind w:left="360"/>
      </w:pPr>
    </w:p>
    <w:p w14:paraId="07601CDF" w14:textId="548E556A" w:rsidR="00B5683E" w:rsidRDefault="00774462" w:rsidP="00094263">
      <w:pPr>
        <w:ind w:left="360"/>
      </w:pPr>
      <w:r>
        <w:t xml:space="preserve">For academic professionals, the review uses the individual’s position description to evaluate </w:t>
      </w:r>
      <w:r w:rsidRPr="00774462">
        <w:t>position effectiveness, professional contributions, and institutional, professional, and/or community service</w:t>
      </w:r>
      <w:r>
        <w:t xml:space="preserve">.  </w:t>
      </w:r>
      <w:r>
        <w:lastRenderedPageBreak/>
        <w:t>The position description should i</w:t>
      </w:r>
      <w:r w:rsidRPr="00774462">
        <w:t>nclude</w:t>
      </w:r>
      <w:r>
        <w:t xml:space="preserve"> a</w:t>
      </w:r>
      <w:r w:rsidRPr="00774462">
        <w:t xml:space="preserve"> % effort assigned to the individual’s </w:t>
      </w:r>
      <w:r>
        <w:t>major categories of</w:t>
      </w:r>
      <w:r w:rsidRPr="00774462">
        <w:t xml:space="preserve"> duties &amp; responsibilities, as well as to professional </w:t>
      </w:r>
      <w:r w:rsidR="00DB6DD9">
        <w:t>contributions</w:t>
      </w:r>
      <w:r w:rsidRPr="00774462">
        <w:t xml:space="preserve"> and service.</w:t>
      </w:r>
      <w:r w:rsidR="00F60249">
        <w:t xml:space="preserve"> </w:t>
      </w:r>
      <w:r w:rsidR="00BC1652">
        <w:t>Annual workload percentages are determined by the School Director or his/her designee in consultation with the academic professional. Typically, workload assignments for a given year will be communicated in the prior year.</w:t>
      </w:r>
    </w:p>
    <w:p w14:paraId="736FB253" w14:textId="77777777" w:rsidR="00F60249" w:rsidRDefault="00F60249" w:rsidP="00094263">
      <w:pPr>
        <w:ind w:left="360"/>
      </w:pPr>
    </w:p>
    <w:p w14:paraId="0D404911" w14:textId="77777777" w:rsidR="00B5683E" w:rsidRDefault="00B5683E" w:rsidP="00094263">
      <w:pPr>
        <w:ind w:left="360"/>
      </w:pPr>
      <w:r>
        <w:t>CLAS defines three categories of performance:</w:t>
      </w:r>
    </w:p>
    <w:p w14:paraId="763FD189" w14:textId="77777777" w:rsidR="00B5683E" w:rsidRDefault="007E733E" w:rsidP="00094263">
      <w:pPr>
        <w:pStyle w:val="ListParagraph"/>
        <w:numPr>
          <w:ilvl w:val="0"/>
          <w:numId w:val="4"/>
        </w:numPr>
      </w:pPr>
      <w:r>
        <w:t>above satisfactory (3)</w:t>
      </w:r>
    </w:p>
    <w:p w14:paraId="09567619" w14:textId="77777777" w:rsidR="007E733E" w:rsidRDefault="007E733E" w:rsidP="00094263">
      <w:pPr>
        <w:pStyle w:val="ListParagraph"/>
        <w:numPr>
          <w:ilvl w:val="0"/>
          <w:numId w:val="4"/>
        </w:numPr>
      </w:pPr>
      <w:r>
        <w:t>satisfactory (2)</w:t>
      </w:r>
    </w:p>
    <w:p w14:paraId="54FD6456" w14:textId="77777777" w:rsidR="007E733E" w:rsidRDefault="007E733E" w:rsidP="00094263">
      <w:pPr>
        <w:pStyle w:val="ListParagraph"/>
        <w:numPr>
          <w:ilvl w:val="0"/>
          <w:numId w:val="4"/>
        </w:numPr>
      </w:pPr>
      <w:r>
        <w:t>unsatisfactory (1)</w:t>
      </w:r>
    </w:p>
    <w:p w14:paraId="17FF2D7B" w14:textId="77777777" w:rsidR="007E733E" w:rsidRDefault="007E733E" w:rsidP="00094263"/>
    <w:p w14:paraId="3380934A" w14:textId="75E9BCE7" w:rsidR="007E733E" w:rsidRDefault="007E733E" w:rsidP="00094263">
      <w:pPr>
        <w:ind w:left="360"/>
      </w:pPr>
      <w:r>
        <w:t xml:space="preserve">The expectation is that </w:t>
      </w:r>
      <w:r w:rsidR="00265EBC">
        <w:t>tenure-track</w:t>
      </w:r>
      <w:r w:rsidR="003313F1">
        <w:t xml:space="preserve"> and fixed-term </w:t>
      </w:r>
      <w:r>
        <w:t>faculty</w:t>
      </w:r>
      <w:r w:rsidR="00A7629D">
        <w:t xml:space="preserve"> and academic professionals</w:t>
      </w:r>
      <w:r>
        <w:t xml:space="preserve"> meet satisfactory performance, which is described </w:t>
      </w:r>
      <w:r w:rsidR="00187723">
        <w:t>above</w:t>
      </w:r>
      <w:r>
        <w:t xml:space="preserve">. Any rating of unsatisfactory </w:t>
      </w:r>
      <w:r w:rsidR="00BC1652">
        <w:t xml:space="preserve">may trigger post-tenure action as governed by </w:t>
      </w:r>
      <w:r>
        <w:t>ACD 506-11.</w:t>
      </w:r>
    </w:p>
    <w:p w14:paraId="669F3BEC" w14:textId="77777777" w:rsidR="00D1594B" w:rsidRDefault="00D1594B" w:rsidP="00094263"/>
    <w:p w14:paraId="05B53EFE" w14:textId="15AD9544" w:rsidR="00D1594B" w:rsidRPr="00BA2A2F" w:rsidRDefault="00D1594B" w:rsidP="00094263">
      <w:pPr>
        <w:ind w:left="360"/>
      </w:pPr>
    </w:p>
    <w:sectPr w:rsidR="00D1594B" w:rsidRPr="00BA2A2F" w:rsidSect="00094263">
      <w:footerReference w:type="even" r:id="rId11"/>
      <w:footerReference w:type="default" r:id="rId1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710FD" w15:done="0"/>
  <w15:commentEx w15:paraId="48B37002" w15:done="0"/>
  <w15:commentEx w15:paraId="2F2BADA2" w15:done="0"/>
  <w15:commentEx w15:paraId="39B0E371" w15:done="0"/>
  <w15:commentEx w15:paraId="52122A62" w15:done="0"/>
  <w15:commentEx w15:paraId="1DF0E49E" w15:done="0"/>
  <w15:commentEx w15:paraId="3D7F5445" w15:done="0"/>
  <w15:commentEx w15:paraId="58D0B0DC" w15:done="0"/>
  <w15:commentEx w15:paraId="591DC0EF" w15:done="0"/>
  <w15:commentEx w15:paraId="657F88EF" w15:done="0"/>
  <w15:commentEx w15:paraId="68B5192E" w15:done="0"/>
  <w15:commentEx w15:paraId="0693EA2F" w15:done="0"/>
  <w15:commentEx w15:paraId="738BB2D6" w15:done="0"/>
  <w15:commentEx w15:paraId="5158AA8F" w15:done="0"/>
  <w15:commentEx w15:paraId="519422AA" w15:done="0"/>
  <w15:commentEx w15:paraId="3B02B11E" w15:done="0"/>
  <w15:commentEx w15:paraId="7151B22C" w15:done="0"/>
  <w15:commentEx w15:paraId="662D3FDD" w15:done="0"/>
  <w15:commentEx w15:paraId="70F7E11E" w15:done="0"/>
  <w15:commentEx w15:paraId="708421F3" w15:done="0"/>
  <w15:commentEx w15:paraId="18175068" w15:done="0"/>
  <w15:commentEx w15:paraId="51745343" w15:done="0"/>
  <w15:commentEx w15:paraId="76AB14FE" w15:done="0"/>
  <w15:commentEx w15:paraId="1C514472" w15:done="0"/>
  <w15:commentEx w15:paraId="74BB79BD" w15:done="0"/>
  <w15:commentEx w15:paraId="573A4DEE" w15:done="0"/>
  <w15:commentEx w15:paraId="72CC907B" w15:done="0"/>
  <w15:commentEx w15:paraId="2CCFA38A" w15:done="0"/>
  <w15:commentEx w15:paraId="34C1AB7E" w15:done="0"/>
  <w15:commentEx w15:paraId="04DCC9C2" w15:done="0"/>
  <w15:commentEx w15:paraId="2534C7CF" w15:done="0"/>
  <w15:commentEx w15:paraId="74E209BE" w15:done="0"/>
  <w15:commentEx w15:paraId="1E9CAB0C" w15:done="0"/>
  <w15:commentEx w15:paraId="7B5AA9EC" w15:done="0"/>
  <w15:commentEx w15:paraId="6035B646" w15:done="0"/>
  <w15:commentEx w15:paraId="079E78DE" w15:done="0"/>
  <w15:commentEx w15:paraId="658FA387" w15:done="0"/>
  <w15:commentEx w15:paraId="52816BCD" w15:done="0"/>
  <w15:commentEx w15:paraId="4A1177AE" w15:done="0"/>
  <w15:commentEx w15:paraId="1B2930BF" w15:done="0"/>
  <w15:commentEx w15:paraId="163FBD65" w15:done="0"/>
  <w15:commentEx w15:paraId="265193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E928" w14:textId="77777777" w:rsidR="00B36797" w:rsidRDefault="00B36797" w:rsidP="00CC65C7">
      <w:r>
        <w:separator/>
      </w:r>
    </w:p>
  </w:endnote>
  <w:endnote w:type="continuationSeparator" w:id="0">
    <w:p w14:paraId="0F76D3AE" w14:textId="77777777" w:rsidR="00B36797" w:rsidRDefault="00B36797" w:rsidP="00CC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2423" w14:textId="77777777" w:rsidR="008B2F5D" w:rsidRDefault="00166EE8" w:rsidP="00CC65C7">
    <w:pPr>
      <w:pStyle w:val="Footer"/>
      <w:framePr w:wrap="around" w:vAnchor="text" w:hAnchor="margin" w:xAlign="right" w:y="1"/>
      <w:rPr>
        <w:rStyle w:val="PageNumber"/>
      </w:rPr>
    </w:pPr>
    <w:r>
      <w:rPr>
        <w:rStyle w:val="PageNumber"/>
      </w:rPr>
      <w:fldChar w:fldCharType="begin"/>
    </w:r>
    <w:r w:rsidR="008B2F5D">
      <w:rPr>
        <w:rStyle w:val="PageNumber"/>
      </w:rPr>
      <w:instrText xml:space="preserve">PAGE  </w:instrText>
    </w:r>
    <w:r>
      <w:rPr>
        <w:rStyle w:val="PageNumber"/>
      </w:rPr>
      <w:fldChar w:fldCharType="end"/>
    </w:r>
  </w:p>
  <w:p w14:paraId="7D54F939" w14:textId="77777777" w:rsidR="008B2F5D" w:rsidRDefault="008B2F5D" w:rsidP="00CC6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0757" w14:textId="77777777" w:rsidR="008B2F5D" w:rsidRDefault="00166EE8" w:rsidP="00CC65C7">
    <w:pPr>
      <w:pStyle w:val="Footer"/>
      <w:framePr w:wrap="around" w:vAnchor="text" w:hAnchor="margin" w:xAlign="right" w:y="1"/>
      <w:rPr>
        <w:rStyle w:val="PageNumber"/>
      </w:rPr>
    </w:pPr>
    <w:r>
      <w:rPr>
        <w:rStyle w:val="PageNumber"/>
      </w:rPr>
      <w:fldChar w:fldCharType="begin"/>
    </w:r>
    <w:r w:rsidR="008B2F5D">
      <w:rPr>
        <w:rStyle w:val="PageNumber"/>
      </w:rPr>
      <w:instrText xml:space="preserve">PAGE  </w:instrText>
    </w:r>
    <w:r>
      <w:rPr>
        <w:rStyle w:val="PageNumber"/>
      </w:rPr>
      <w:fldChar w:fldCharType="separate"/>
    </w:r>
    <w:r w:rsidR="00B1390B">
      <w:rPr>
        <w:rStyle w:val="PageNumber"/>
        <w:noProof/>
      </w:rPr>
      <w:t>1</w:t>
    </w:r>
    <w:r>
      <w:rPr>
        <w:rStyle w:val="PageNumber"/>
      </w:rPr>
      <w:fldChar w:fldCharType="end"/>
    </w:r>
  </w:p>
  <w:p w14:paraId="61804F59" w14:textId="77777777" w:rsidR="008B2F5D" w:rsidRDefault="008B2F5D" w:rsidP="00CC65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33A5F" w14:textId="77777777" w:rsidR="00B36797" w:rsidRDefault="00B36797" w:rsidP="00CC65C7">
      <w:r>
        <w:separator/>
      </w:r>
    </w:p>
  </w:footnote>
  <w:footnote w:type="continuationSeparator" w:id="0">
    <w:p w14:paraId="21A2EC4D" w14:textId="77777777" w:rsidR="00B36797" w:rsidRDefault="00B36797" w:rsidP="00CC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FBA"/>
    <w:multiLevelType w:val="hybridMultilevel"/>
    <w:tmpl w:val="10BC5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B15C76"/>
    <w:multiLevelType w:val="hybridMultilevel"/>
    <w:tmpl w:val="9384CA7E"/>
    <w:lvl w:ilvl="0" w:tplc="2A1821FE">
      <w:start w:val="1"/>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3C3251"/>
    <w:multiLevelType w:val="hybridMultilevel"/>
    <w:tmpl w:val="105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4DBB"/>
    <w:multiLevelType w:val="hybridMultilevel"/>
    <w:tmpl w:val="71962AA2"/>
    <w:lvl w:ilvl="0" w:tplc="2A1821FE">
      <w:start w:val="1"/>
      <w:numFmt w:val="bullet"/>
      <w:lvlText w:val=""/>
      <w:lvlJc w:val="left"/>
      <w:pPr>
        <w:ind w:left="288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CE25D8"/>
    <w:multiLevelType w:val="hybridMultilevel"/>
    <w:tmpl w:val="171A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403F8"/>
    <w:multiLevelType w:val="hybridMultilevel"/>
    <w:tmpl w:val="DCB6D2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A73301"/>
    <w:multiLevelType w:val="hybridMultilevel"/>
    <w:tmpl w:val="E196C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5F4E1A"/>
    <w:multiLevelType w:val="hybridMultilevel"/>
    <w:tmpl w:val="DC6CBD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867295"/>
    <w:multiLevelType w:val="hybridMultilevel"/>
    <w:tmpl w:val="3CA87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AD05D8"/>
    <w:multiLevelType w:val="hybridMultilevel"/>
    <w:tmpl w:val="ACD2641C"/>
    <w:lvl w:ilvl="0" w:tplc="DDB2AB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E12958"/>
    <w:multiLevelType w:val="hybridMultilevel"/>
    <w:tmpl w:val="ABE8541A"/>
    <w:lvl w:ilvl="0" w:tplc="4B80B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F42018"/>
    <w:multiLevelType w:val="hybridMultilevel"/>
    <w:tmpl w:val="CED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431B"/>
    <w:multiLevelType w:val="hybridMultilevel"/>
    <w:tmpl w:val="9852FA82"/>
    <w:lvl w:ilvl="0" w:tplc="6504A29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832EB"/>
    <w:multiLevelType w:val="hybridMultilevel"/>
    <w:tmpl w:val="36802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2"/>
  </w:num>
  <w:num w:numId="6">
    <w:abstractNumId w:val="4"/>
  </w:num>
  <w:num w:numId="7">
    <w:abstractNumId w:val="11"/>
  </w:num>
  <w:num w:numId="8">
    <w:abstractNumId w:val="3"/>
  </w:num>
  <w:num w:numId="9">
    <w:abstractNumId w:val="5"/>
  </w:num>
  <w:num w:numId="10">
    <w:abstractNumId w:val="6"/>
  </w:num>
  <w:num w:numId="11">
    <w:abstractNumId w:val="8"/>
  </w:num>
  <w:num w:numId="12">
    <w:abstractNumId w:val="7"/>
  </w:num>
  <w:num w:numId="13">
    <w:abstractNumId w:val="1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Gober">
    <w15:presenceInfo w15:providerId="AD" w15:userId="S-1-5-21-1864253520-1647712531-16515117-32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B7"/>
    <w:rsid w:val="0001111A"/>
    <w:rsid w:val="00014D61"/>
    <w:rsid w:val="00024623"/>
    <w:rsid w:val="00044C62"/>
    <w:rsid w:val="000472A2"/>
    <w:rsid w:val="0005032E"/>
    <w:rsid w:val="0005544F"/>
    <w:rsid w:val="00094263"/>
    <w:rsid w:val="000B1BEA"/>
    <w:rsid w:val="000B22C7"/>
    <w:rsid w:val="000C68EA"/>
    <w:rsid w:val="000E4155"/>
    <w:rsid w:val="000E597E"/>
    <w:rsid w:val="0010007A"/>
    <w:rsid w:val="001077EC"/>
    <w:rsid w:val="00114C3B"/>
    <w:rsid w:val="001250A8"/>
    <w:rsid w:val="00166EE8"/>
    <w:rsid w:val="00187723"/>
    <w:rsid w:val="001A1BDB"/>
    <w:rsid w:val="001E5389"/>
    <w:rsid w:val="002204F1"/>
    <w:rsid w:val="00234C6C"/>
    <w:rsid w:val="00247EEF"/>
    <w:rsid w:val="002551C0"/>
    <w:rsid w:val="00265EBC"/>
    <w:rsid w:val="00270436"/>
    <w:rsid w:val="00277580"/>
    <w:rsid w:val="002D6129"/>
    <w:rsid w:val="002F504B"/>
    <w:rsid w:val="00301DA2"/>
    <w:rsid w:val="00307130"/>
    <w:rsid w:val="00313135"/>
    <w:rsid w:val="003313F1"/>
    <w:rsid w:val="00350FA0"/>
    <w:rsid w:val="003608D6"/>
    <w:rsid w:val="00371C7A"/>
    <w:rsid w:val="003806BA"/>
    <w:rsid w:val="003C06F6"/>
    <w:rsid w:val="003C29A9"/>
    <w:rsid w:val="003C3894"/>
    <w:rsid w:val="003E0D44"/>
    <w:rsid w:val="0040275F"/>
    <w:rsid w:val="0040530A"/>
    <w:rsid w:val="004075C2"/>
    <w:rsid w:val="00441296"/>
    <w:rsid w:val="004444B0"/>
    <w:rsid w:val="00450986"/>
    <w:rsid w:val="004708F1"/>
    <w:rsid w:val="0049538D"/>
    <w:rsid w:val="004969A3"/>
    <w:rsid w:val="004B5DC2"/>
    <w:rsid w:val="004D17F5"/>
    <w:rsid w:val="004D4855"/>
    <w:rsid w:val="004D7855"/>
    <w:rsid w:val="004F46CD"/>
    <w:rsid w:val="004F5DF7"/>
    <w:rsid w:val="005150B1"/>
    <w:rsid w:val="00527551"/>
    <w:rsid w:val="00537551"/>
    <w:rsid w:val="00537F6D"/>
    <w:rsid w:val="00542A97"/>
    <w:rsid w:val="00546329"/>
    <w:rsid w:val="00564F30"/>
    <w:rsid w:val="005936DF"/>
    <w:rsid w:val="005A3D37"/>
    <w:rsid w:val="005B5341"/>
    <w:rsid w:val="005F374A"/>
    <w:rsid w:val="006006FD"/>
    <w:rsid w:val="00632D1E"/>
    <w:rsid w:val="00655994"/>
    <w:rsid w:val="00666807"/>
    <w:rsid w:val="00682FBC"/>
    <w:rsid w:val="006A7C90"/>
    <w:rsid w:val="006C66FF"/>
    <w:rsid w:val="006F1E7B"/>
    <w:rsid w:val="006F798E"/>
    <w:rsid w:val="00714AA3"/>
    <w:rsid w:val="00737EA6"/>
    <w:rsid w:val="00743F68"/>
    <w:rsid w:val="00746F7B"/>
    <w:rsid w:val="007622CB"/>
    <w:rsid w:val="00765C64"/>
    <w:rsid w:val="00773481"/>
    <w:rsid w:val="00774462"/>
    <w:rsid w:val="00776763"/>
    <w:rsid w:val="007865FC"/>
    <w:rsid w:val="007B69BC"/>
    <w:rsid w:val="007C3AEE"/>
    <w:rsid w:val="007E733E"/>
    <w:rsid w:val="008079C1"/>
    <w:rsid w:val="00810591"/>
    <w:rsid w:val="00812F22"/>
    <w:rsid w:val="00876ACA"/>
    <w:rsid w:val="0088299D"/>
    <w:rsid w:val="008A68C2"/>
    <w:rsid w:val="008B2F5D"/>
    <w:rsid w:val="008B5BD2"/>
    <w:rsid w:val="008C602E"/>
    <w:rsid w:val="008C6D10"/>
    <w:rsid w:val="008C71E2"/>
    <w:rsid w:val="008D5763"/>
    <w:rsid w:val="008E5030"/>
    <w:rsid w:val="008F791C"/>
    <w:rsid w:val="009142AB"/>
    <w:rsid w:val="00921E7F"/>
    <w:rsid w:val="00945507"/>
    <w:rsid w:val="00946CC3"/>
    <w:rsid w:val="00970B82"/>
    <w:rsid w:val="00973390"/>
    <w:rsid w:val="0098366B"/>
    <w:rsid w:val="00987FD4"/>
    <w:rsid w:val="009A7074"/>
    <w:rsid w:val="009B377C"/>
    <w:rsid w:val="009C45F8"/>
    <w:rsid w:val="009C7308"/>
    <w:rsid w:val="009F5FFF"/>
    <w:rsid w:val="00A03589"/>
    <w:rsid w:val="00A1451B"/>
    <w:rsid w:val="00A275E8"/>
    <w:rsid w:val="00A4241E"/>
    <w:rsid w:val="00A42759"/>
    <w:rsid w:val="00A44200"/>
    <w:rsid w:val="00A52CA2"/>
    <w:rsid w:val="00A574A5"/>
    <w:rsid w:val="00A7629D"/>
    <w:rsid w:val="00A7686C"/>
    <w:rsid w:val="00A86FC6"/>
    <w:rsid w:val="00A91290"/>
    <w:rsid w:val="00AA1EB2"/>
    <w:rsid w:val="00AB3415"/>
    <w:rsid w:val="00AB3CE5"/>
    <w:rsid w:val="00AB7378"/>
    <w:rsid w:val="00AB756B"/>
    <w:rsid w:val="00AC2B44"/>
    <w:rsid w:val="00B00177"/>
    <w:rsid w:val="00B01836"/>
    <w:rsid w:val="00B1390B"/>
    <w:rsid w:val="00B34DF6"/>
    <w:rsid w:val="00B36797"/>
    <w:rsid w:val="00B50A9D"/>
    <w:rsid w:val="00B5683E"/>
    <w:rsid w:val="00B65732"/>
    <w:rsid w:val="00B675B7"/>
    <w:rsid w:val="00B80EFB"/>
    <w:rsid w:val="00B814A5"/>
    <w:rsid w:val="00B831B7"/>
    <w:rsid w:val="00B92160"/>
    <w:rsid w:val="00B92EF6"/>
    <w:rsid w:val="00B97499"/>
    <w:rsid w:val="00BA0392"/>
    <w:rsid w:val="00BA2A2F"/>
    <w:rsid w:val="00BB1268"/>
    <w:rsid w:val="00BC0FA3"/>
    <w:rsid w:val="00BC1652"/>
    <w:rsid w:val="00BC2DCC"/>
    <w:rsid w:val="00BE711C"/>
    <w:rsid w:val="00BF3DB8"/>
    <w:rsid w:val="00BF76DE"/>
    <w:rsid w:val="00C13ECA"/>
    <w:rsid w:val="00C24E8B"/>
    <w:rsid w:val="00C33292"/>
    <w:rsid w:val="00C4087A"/>
    <w:rsid w:val="00C469D0"/>
    <w:rsid w:val="00C62E1D"/>
    <w:rsid w:val="00C72C96"/>
    <w:rsid w:val="00CA385A"/>
    <w:rsid w:val="00CC65C7"/>
    <w:rsid w:val="00CE59D6"/>
    <w:rsid w:val="00CF6B66"/>
    <w:rsid w:val="00D1594B"/>
    <w:rsid w:val="00D23FBA"/>
    <w:rsid w:val="00D33858"/>
    <w:rsid w:val="00D404EC"/>
    <w:rsid w:val="00D43727"/>
    <w:rsid w:val="00D44AB7"/>
    <w:rsid w:val="00D47673"/>
    <w:rsid w:val="00D65947"/>
    <w:rsid w:val="00D803FE"/>
    <w:rsid w:val="00DB6DD9"/>
    <w:rsid w:val="00DC0B26"/>
    <w:rsid w:val="00DC1FB4"/>
    <w:rsid w:val="00DC6E3B"/>
    <w:rsid w:val="00DE2DD2"/>
    <w:rsid w:val="00DF3CD0"/>
    <w:rsid w:val="00E07CAB"/>
    <w:rsid w:val="00E17F22"/>
    <w:rsid w:val="00E32E39"/>
    <w:rsid w:val="00E537EC"/>
    <w:rsid w:val="00E54DF7"/>
    <w:rsid w:val="00E55101"/>
    <w:rsid w:val="00E621C0"/>
    <w:rsid w:val="00E6616D"/>
    <w:rsid w:val="00E923E9"/>
    <w:rsid w:val="00E94113"/>
    <w:rsid w:val="00EB0D90"/>
    <w:rsid w:val="00EB1E90"/>
    <w:rsid w:val="00ED1ACA"/>
    <w:rsid w:val="00ED44BB"/>
    <w:rsid w:val="00EE2CE3"/>
    <w:rsid w:val="00EF49E2"/>
    <w:rsid w:val="00F14777"/>
    <w:rsid w:val="00F1514F"/>
    <w:rsid w:val="00F31164"/>
    <w:rsid w:val="00F417C0"/>
    <w:rsid w:val="00F42BF6"/>
    <w:rsid w:val="00F4429F"/>
    <w:rsid w:val="00F46D2B"/>
    <w:rsid w:val="00F52EFC"/>
    <w:rsid w:val="00F60249"/>
    <w:rsid w:val="00F612AD"/>
    <w:rsid w:val="00F651AB"/>
    <w:rsid w:val="00F73396"/>
    <w:rsid w:val="00F77886"/>
    <w:rsid w:val="00F77F60"/>
    <w:rsid w:val="00FD22CD"/>
    <w:rsid w:val="00FE4A17"/>
    <w:rsid w:val="00FE6E06"/>
    <w:rsid w:val="00FF09AA"/>
    <w:rsid w:val="00FF1E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B7"/>
    <w:pPr>
      <w:ind w:left="720"/>
      <w:contextualSpacing/>
    </w:pPr>
  </w:style>
  <w:style w:type="character" w:styleId="Hyperlink">
    <w:name w:val="Hyperlink"/>
    <w:basedOn w:val="DefaultParagraphFont"/>
    <w:uiPriority w:val="99"/>
    <w:unhideWhenUsed/>
    <w:rsid w:val="00B5683E"/>
    <w:rPr>
      <w:color w:val="0000FF" w:themeColor="hyperlink"/>
      <w:u w:val="single"/>
    </w:rPr>
  </w:style>
  <w:style w:type="character" w:styleId="FollowedHyperlink">
    <w:name w:val="FollowedHyperlink"/>
    <w:basedOn w:val="DefaultParagraphFont"/>
    <w:uiPriority w:val="99"/>
    <w:semiHidden/>
    <w:unhideWhenUsed/>
    <w:rsid w:val="00B5683E"/>
    <w:rPr>
      <w:color w:val="800080" w:themeColor="followedHyperlink"/>
      <w:u w:val="single"/>
    </w:rPr>
  </w:style>
  <w:style w:type="paragraph" w:styleId="Footer">
    <w:name w:val="footer"/>
    <w:basedOn w:val="Normal"/>
    <w:link w:val="FooterChar"/>
    <w:uiPriority w:val="99"/>
    <w:unhideWhenUsed/>
    <w:rsid w:val="00CC65C7"/>
    <w:pPr>
      <w:tabs>
        <w:tab w:val="center" w:pos="4320"/>
        <w:tab w:val="right" w:pos="8640"/>
      </w:tabs>
    </w:pPr>
  </w:style>
  <w:style w:type="character" w:customStyle="1" w:styleId="FooterChar">
    <w:name w:val="Footer Char"/>
    <w:basedOn w:val="DefaultParagraphFont"/>
    <w:link w:val="Footer"/>
    <w:uiPriority w:val="99"/>
    <w:rsid w:val="00CC65C7"/>
  </w:style>
  <w:style w:type="character" w:styleId="PageNumber">
    <w:name w:val="page number"/>
    <w:basedOn w:val="DefaultParagraphFont"/>
    <w:uiPriority w:val="99"/>
    <w:semiHidden/>
    <w:unhideWhenUsed/>
    <w:rsid w:val="00CC65C7"/>
  </w:style>
  <w:style w:type="character" w:styleId="CommentReference">
    <w:name w:val="annotation reference"/>
    <w:basedOn w:val="DefaultParagraphFont"/>
    <w:uiPriority w:val="99"/>
    <w:semiHidden/>
    <w:unhideWhenUsed/>
    <w:rsid w:val="00A42759"/>
    <w:rPr>
      <w:sz w:val="18"/>
      <w:szCs w:val="18"/>
    </w:rPr>
  </w:style>
  <w:style w:type="paragraph" w:styleId="CommentText">
    <w:name w:val="annotation text"/>
    <w:basedOn w:val="Normal"/>
    <w:link w:val="CommentTextChar"/>
    <w:uiPriority w:val="99"/>
    <w:semiHidden/>
    <w:unhideWhenUsed/>
    <w:rsid w:val="00A42759"/>
  </w:style>
  <w:style w:type="character" w:customStyle="1" w:styleId="CommentTextChar">
    <w:name w:val="Comment Text Char"/>
    <w:basedOn w:val="DefaultParagraphFont"/>
    <w:link w:val="CommentText"/>
    <w:uiPriority w:val="99"/>
    <w:semiHidden/>
    <w:rsid w:val="00A42759"/>
  </w:style>
  <w:style w:type="paragraph" w:styleId="CommentSubject">
    <w:name w:val="annotation subject"/>
    <w:basedOn w:val="CommentText"/>
    <w:next w:val="CommentText"/>
    <w:link w:val="CommentSubjectChar"/>
    <w:uiPriority w:val="99"/>
    <w:semiHidden/>
    <w:unhideWhenUsed/>
    <w:rsid w:val="00A42759"/>
    <w:rPr>
      <w:b/>
      <w:bCs/>
      <w:sz w:val="20"/>
      <w:szCs w:val="20"/>
    </w:rPr>
  </w:style>
  <w:style w:type="character" w:customStyle="1" w:styleId="CommentSubjectChar">
    <w:name w:val="Comment Subject Char"/>
    <w:basedOn w:val="CommentTextChar"/>
    <w:link w:val="CommentSubject"/>
    <w:uiPriority w:val="99"/>
    <w:semiHidden/>
    <w:rsid w:val="00A42759"/>
    <w:rPr>
      <w:b/>
      <w:bCs/>
      <w:sz w:val="20"/>
      <w:szCs w:val="20"/>
    </w:rPr>
  </w:style>
  <w:style w:type="paragraph" w:styleId="BalloonText">
    <w:name w:val="Balloon Text"/>
    <w:basedOn w:val="Normal"/>
    <w:link w:val="BalloonTextChar"/>
    <w:uiPriority w:val="99"/>
    <w:semiHidden/>
    <w:unhideWhenUsed/>
    <w:rsid w:val="00A42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59"/>
    <w:rPr>
      <w:rFonts w:ascii="Lucida Grande" w:hAnsi="Lucida Grande" w:cs="Lucida Grande"/>
      <w:sz w:val="18"/>
      <w:szCs w:val="18"/>
    </w:rPr>
  </w:style>
  <w:style w:type="paragraph" w:styleId="Revision">
    <w:name w:val="Revision"/>
    <w:hidden/>
    <w:uiPriority w:val="99"/>
    <w:semiHidden/>
    <w:rsid w:val="00743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B7"/>
    <w:pPr>
      <w:ind w:left="720"/>
      <w:contextualSpacing/>
    </w:pPr>
  </w:style>
  <w:style w:type="character" w:styleId="Hyperlink">
    <w:name w:val="Hyperlink"/>
    <w:basedOn w:val="DefaultParagraphFont"/>
    <w:uiPriority w:val="99"/>
    <w:unhideWhenUsed/>
    <w:rsid w:val="00B5683E"/>
    <w:rPr>
      <w:color w:val="0000FF" w:themeColor="hyperlink"/>
      <w:u w:val="single"/>
    </w:rPr>
  </w:style>
  <w:style w:type="character" w:styleId="FollowedHyperlink">
    <w:name w:val="FollowedHyperlink"/>
    <w:basedOn w:val="DefaultParagraphFont"/>
    <w:uiPriority w:val="99"/>
    <w:semiHidden/>
    <w:unhideWhenUsed/>
    <w:rsid w:val="00B5683E"/>
    <w:rPr>
      <w:color w:val="800080" w:themeColor="followedHyperlink"/>
      <w:u w:val="single"/>
    </w:rPr>
  </w:style>
  <w:style w:type="paragraph" w:styleId="Footer">
    <w:name w:val="footer"/>
    <w:basedOn w:val="Normal"/>
    <w:link w:val="FooterChar"/>
    <w:uiPriority w:val="99"/>
    <w:unhideWhenUsed/>
    <w:rsid w:val="00CC65C7"/>
    <w:pPr>
      <w:tabs>
        <w:tab w:val="center" w:pos="4320"/>
        <w:tab w:val="right" w:pos="8640"/>
      </w:tabs>
    </w:pPr>
  </w:style>
  <w:style w:type="character" w:customStyle="1" w:styleId="FooterChar">
    <w:name w:val="Footer Char"/>
    <w:basedOn w:val="DefaultParagraphFont"/>
    <w:link w:val="Footer"/>
    <w:uiPriority w:val="99"/>
    <w:rsid w:val="00CC65C7"/>
  </w:style>
  <w:style w:type="character" w:styleId="PageNumber">
    <w:name w:val="page number"/>
    <w:basedOn w:val="DefaultParagraphFont"/>
    <w:uiPriority w:val="99"/>
    <w:semiHidden/>
    <w:unhideWhenUsed/>
    <w:rsid w:val="00CC65C7"/>
  </w:style>
  <w:style w:type="character" w:styleId="CommentReference">
    <w:name w:val="annotation reference"/>
    <w:basedOn w:val="DefaultParagraphFont"/>
    <w:uiPriority w:val="99"/>
    <w:semiHidden/>
    <w:unhideWhenUsed/>
    <w:rsid w:val="00A42759"/>
    <w:rPr>
      <w:sz w:val="18"/>
      <w:szCs w:val="18"/>
    </w:rPr>
  </w:style>
  <w:style w:type="paragraph" w:styleId="CommentText">
    <w:name w:val="annotation text"/>
    <w:basedOn w:val="Normal"/>
    <w:link w:val="CommentTextChar"/>
    <w:uiPriority w:val="99"/>
    <w:semiHidden/>
    <w:unhideWhenUsed/>
    <w:rsid w:val="00A42759"/>
  </w:style>
  <w:style w:type="character" w:customStyle="1" w:styleId="CommentTextChar">
    <w:name w:val="Comment Text Char"/>
    <w:basedOn w:val="DefaultParagraphFont"/>
    <w:link w:val="CommentText"/>
    <w:uiPriority w:val="99"/>
    <w:semiHidden/>
    <w:rsid w:val="00A42759"/>
  </w:style>
  <w:style w:type="paragraph" w:styleId="CommentSubject">
    <w:name w:val="annotation subject"/>
    <w:basedOn w:val="CommentText"/>
    <w:next w:val="CommentText"/>
    <w:link w:val="CommentSubjectChar"/>
    <w:uiPriority w:val="99"/>
    <w:semiHidden/>
    <w:unhideWhenUsed/>
    <w:rsid w:val="00A42759"/>
    <w:rPr>
      <w:b/>
      <w:bCs/>
      <w:sz w:val="20"/>
      <w:szCs w:val="20"/>
    </w:rPr>
  </w:style>
  <w:style w:type="character" w:customStyle="1" w:styleId="CommentSubjectChar">
    <w:name w:val="Comment Subject Char"/>
    <w:basedOn w:val="CommentTextChar"/>
    <w:link w:val="CommentSubject"/>
    <w:uiPriority w:val="99"/>
    <w:semiHidden/>
    <w:rsid w:val="00A42759"/>
    <w:rPr>
      <w:b/>
      <w:bCs/>
      <w:sz w:val="20"/>
      <w:szCs w:val="20"/>
    </w:rPr>
  </w:style>
  <w:style w:type="paragraph" w:styleId="BalloonText">
    <w:name w:val="Balloon Text"/>
    <w:basedOn w:val="Normal"/>
    <w:link w:val="BalloonTextChar"/>
    <w:uiPriority w:val="99"/>
    <w:semiHidden/>
    <w:unhideWhenUsed/>
    <w:rsid w:val="00A42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59"/>
    <w:rPr>
      <w:rFonts w:ascii="Lucida Grande" w:hAnsi="Lucida Grande" w:cs="Lucida Grande"/>
      <w:sz w:val="18"/>
      <w:szCs w:val="18"/>
    </w:rPr>
  </w:style>
  <w:style w:type="paragraph" w:styleId="Revision">
    <w:name w:val="Revision"/>
    <w:hidden/>
    <w:uiPriority w:val="99"/>
    <w:semiHidden/>
    <w:rsid w:val="0074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as.asu.edu/faculty-and-staff/academic-personnel" TargetMode="External"/><Relationship Id="rId4" Type="http://schemas.microsoft.com/office/2007/relationships/stylesWithEffects" Target="stylesWithEffects.xml"/><Relationship Id="rId9" Type="http://schemas.openxmlformats.org/officeDocument/2006/relationships/hyperlink" Target="https://provost.asu.edu/promotion_ten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FACF-426E-4C1D-B92D-5E9D45AD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Libby3</dc:creator>
  <cp:lastModifiedBy>mjs</cp:lastModifiedBy>
  <cp:revision>4</cp:revision>
  <cp:lastPrinted>2015-06-15T22:54:00Z</cp:lastPrinted>
  <dcterms:created xsi:type="dcterms:W3CDTF">2015-10-12T15:58:00Z</dcterms:created>
  <dcterms:modified xsi:type="dcterms:W3CDTF">2015-10-13T20:16:00Z</dcterms:modified>
</cp:coreProperties>
</file>