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F957" w14:textId="77777777" w:rsidR="002D6E70" w:rsidRPr="00C921B5" w:rsidRDefault="002D6E70" w:rsidP="002D6E70">
      <w:p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  <w:color w:val="000000"/>
        </w:rPr>
      </w:pPr>
      <w:r w:rsidRPr="00C921B5">
        <w:rPr>
          <w:rFonts w:asciiTheme="majorHAnsi" w:hAnsiTheme="majorHAnsi" w:cs="Cambria"/>
          <w:b/>
          <w:bCs/>
          <w:color w:val="000000"/>
        </w:rPr>
        <w:t>College of Liberal Arts &amp; Sciences</w:t>
      </w:r>
    </w:p>
    <w:p w14:paraId="200343C4" w14:textId="77777777" w:rsidR="002D6E70" w:rsidRPr="00C921B5" w:rsidRDefault="002D6E70" w:rsidP="002D6E70">
      <w:p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  <w:color w:val="000000"/>
        </w:rPr>
      </w:pPr>
      <w:r w:rsidRPr="00C921B5">
        <w:rPr>
          <w:rFonts w:asciiTheme="majorHAnsi" w:hAnsiTheme="majorHAnsi" w:cs="Cambria"/>
          <w:b/>
          <w:bCs/>
          <w:color w:val="000000"/>
        </w:rPr>
        <w:t>Criteria for promotion of Lecturers</w:t>
      </w:r>
    </w:p>
    <w:p w14:paraId="384B82C8" w14:textId="472A86B0" w:rsidR="002D6E70" w:rsidRPr="00C921B5" w:rsidRDefault="002D6E70" w:rsidP="002D6E70">
      <w:p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  <w:color w:val="000000"/>
        </w:rPr>
      </w:pPr>
      <w:r>
        <w:rPr>
          <w:rFonts w:asciiTheme="majorHAnsi" w:hAnsiTheme="majorHAnsi" w:cs="Cambria"/>
          <w:b/>
          <w:bCs/>
          <w:color w:val="000000"/>
        </w:rPr>
        <w:t>T. Denny Sanford School of Social and Family Dynamics</w:t>
      </w:r>
    </w:p>
    <w:p w14:paraId="43E4FE8F" w14:textId="77777777" w:rsidR="002D6E70" w:rsidRPr="00C921B5" w:rsidRDefault="002D6E70" w:rsidP="002D6E70">
      <w:pPr>
        <w:autoSpaceDE w:val="0"/>
        <w:autoSpaceDN w:val="0"/>
        <w:adjustRightInd w:val="0"/>
        <w:spacing w:after="0"/>
        <w:rPr>
          <w:rFonts w:asciiTheme="majorHAnsi" w:hAnsiTheme="majorHAnsi" w:cs="Cambria"/>
          <w:bCs/>
          <w:color w:val="000000"/>
        </w:rPr>
      </w:pPr>
    </w:p>
    <w:p w14:paraId="43068DDD" w14:textId="6B590242" w:rsidR="002D6E70" w:rsidRPr="00C921B5" w:rsidRDefault="002D6E70" w:rsidP="002D6E70">
      <w:pPr>
        <w:autoSpaceDE w:val="0"/>
        <w:autoSpaceDN w:val="0"/>
        <w:adjustRightInd w:val="0"/>
        <w:spacing w:after="0"/>
        <w:rPr>
          <w:rFonts w:asciiTheme="majorHAnsi" w:hAnsiTheme="majorHAnsi" w:cs="Cambria"/>
          <w:bCs/>
          <w:color w:val="000000"/>
        </w:rPr>
      </w:pPr>
      <w:r w:rsidRPr="00C921B5">
        <w:rPr>
          <w:rFonts w:asciiTheme="majorHAnsi" w:hAnsiTheme="majorHAnsi" w:cs="Cambria"/>
          <w:bCs/>
          <w:color w:val="000000"/>
        </w:rPr>
        <w:t xml:space="preserve">Approved by the dean on August </w:t>
      </w:r>
      <w:r>
        <w:rPr>
          <w:rFonts w:asciiTheme="majorHAnsi" w:hAnsiTheme="majorHAnsi" w:cs="Cambria"/>
          <w:bCs/>
          <w:color w:val="000000"/>
        </w:rPr>
        <w:t>27</w:t>
      </w:r>
      <w:r w:rsidRPr="00C921B5">
        <w:rPr>
          <w:rFonts w:asciiTheme="majorHAnsi" w:hAnsiTheme="majorHAnsi" w:cs="Cambria"/>
          <w:bCs/>
          <w:color w:val="000000"/>
        </w:rPr>
        <w:t>, 2015</w:t>
      </w:r>
    </w:p>
    <w:p w14:paraId="6D7D2FEC" w14:textId="3B82FB59" w:rsidR="002D6E70" w:rsidRPr="00C921B5" w:rsidRDefault="002D6E70" w:rsidP="002D6E70">
      <w:pPr>
        <w:autoSpaceDE w:val="0"/>
        <w:autoSpaceDN w:val="0"/>
        <w:adjustRightInd w:val="0"/>
        <w:spacing w:after="0"/>
        <w:rPr>
          <w:rFonts w:asciiTheme="majorHAnsi" w:hAnsiTheme="majorHAnsi" w:cs="Cambria"/>
          <w:bCs/>
          <w:color w:val="000000"/>
        </w:rPr>
      </w:pPr>
      <w:r w:rsidRPr="00C921B5">
        <w:rPr>
          <w:rFonts w:asciiTheme="majorHAnsi" w:hAnsiTheme="majorHAnsi" w:cs="Cambria"/>
          <w:bCs/>
          <w:color w:val="000000"/>
        </w:rPr>
        <w:t xml:space="preserve">Approved by the faculty assembly of the school on </w:t>
      </w:r>
      <w:r w:rsidR="001E7720">
        <w:rPr>
          <w:rFonts w:asciiTheme="majorHAnsi" w:hAnsiTheme="majorHAnsi" w:cs="Cambria"/>
          <w:bCs/>
          <w:color w:val="000000"/>
        </w:rPr>
        <w:t>September 7, 2018</w:t>
      </w:r>
    </w:p>
    <w:p w14:paraId="2C0C5266" w14:textId="77777777" w:rsidR="002D6E70" w:rsidRDefault="002D6E70" w:rsidP="009D36BB">
      <w:pPr>
        <w:spacing w:after="0"/>
        <w:contextualSpacing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14:paraId="15F82B05" w14:textId="77777777" w:rsidR="002D6E70" w:rsidRDefault="002D6E70" w:rsidP="009D36BB">
      <w:pPr>
        <w:spacing w:after="0"/>
        <w:contextualSpacing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14:paraId="6C97221A" w14:textId="77777777" w:rsidR="002D6E70" w:rsidRDefault="002D6E70" w:rsidP="009D36BB">
      <w:pPr>
        <w:spacing w:after="0"/>
        <w:contextualSpacing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14:paraId="7D041DA0" w14:textId="77777777" w:rsidR="002D6E70" w:rsidRDefault="002D6E70" w:rsidP="009D36BB">
      <w:pPr>
        <w:spacing w:after="0"/>
        <w:contextualSpacing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14:paraId="6FC1E8FF" w14:textId="78261F98" w:rsidR="002D6E70" w:rsidRDefault="002D6E70" w:rsidP="001E7720">
      <w:pPr>
        <w:spacing w:after="0"/>
        <w:contextualSpacing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14:paraId="7D146596" w14:textId="77777777" w:rsidR="002D6E70" w:rsidRDefault="002D6E70" w:rsidP="009D36BB">
      <w:pPr>
        <w:spacing w:after="0"/>
        <w:contextualSpacing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14:paraId="128A1B5D" w14:textId="77777777" w:rsidR="002D6E70" w:rsidRDefault="002D6E70" w:rsidP="009D36BB">
      <w:pPr>
        <w:spacing w:after="0"/>
        <w:contextualSpacing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14:paraId="5748799A" w14:textId="77777777" w:rsidR="002D6E70" w:rsidRDefault="002D6E70" w:rsidP="009D36BB">
      <w:pPr>
        <w:spacing w:after="0"/>
        <w:contextualSpacing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14:paraId="21B6763B" w14:textId="77777777" w:rsidR="001E7720" w:rsidRDefault="001E7720">
      <w:pPr>
        <w:spacing w:after="0" w:line="240" w:lineRule="auto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br w:type="page"/>
      </w:r>
    </w:p>
    <w:p w14:paraId="4F8E488B" w14:textId="5543B653" w:rsidR="008A51C8" w:rsidRDefault="008A51C8" w:rsidP="009D36BB">
      <w:pPr>
        <w:spacing w:after="0"/>
        <w:contextualSpacing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9CADF3" wp14:editId="01CA3134">
            <wp:extent cx="3255264" cy="6766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ford Logo u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E459" w14:textId="77777777" w:rsidR="008A51C8" w:rsidRDefault="008A51C8" w:rsidP="009D36BB">
      <w:pPr>
        <w:spacing w:after="0"/>
        <w:contextualSpacing/>
        <w:jc w:val="center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</w:p>
    <w:p w14:paraId="0DE67A6B" w14:textId="35993E9C" w:rsidR="00C13AAE" w:rsidRPr="00C90E72" w:rsidRDefault="001A6534" w:rsidP="009D36BB">
      <w:pPr>
        <w:spacing w:after="0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 xml:space="preserve">Evaluation </w:t>
      </w:r>
      <w:r w:rsidR="002422AA" w:rsidRPr="00C90E72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 xml:space="preserve">Criteria </w:t>
      </w:r>
      <w:r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 xml:space="preserve">and Promotion Guidelines </w:t>
      </w:r>
      <w:r w:rsidR="002422AA" w:rsidRPr="00C90E72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for Fixed Term Lecturers</w:t>
      </w:r>
    </w:p>
    <w:p w14:paraId="424017A6" w14:textId="77777777" w:rsidR="00CB2C08" w:rsidRDefault="00CB2C08" w:rsidP="009D36BB">
      <w:pPr>
        <w:spacing w:after="0"/>
        <w:contextualSpacing/>
        <w:rPr>
          <w:rFonts w:asciiTheme="majorHAnsi" w:eastAsia="Times New Roman" w:hAnsiTheme="majorHAnsi"/>
          <w:b/>
          <w:sz w:val="24"/>
          <w:szCs w:val="24"/>
        </w:rPr>
      </w:pPr>
    </w:p>
    <w:p w14:paraId="5244BC2F" w14:textId="47BB6F9E" w:rsidR="003C6F46" w:rsidRDefault="00C13AAE" w:rsidP="003C6F46">
      <w:pPr>
        <w:spacing w:after="0"/>
        <w:contextualSpacing/>
        <w:rPr>
          <w:rFonts w:asciiTheme="majorHAnsi" w:eastAsia="Times New Roman" w:hAnsiTheme="majorHAnsi"/>
          <w:sz w:val="20"/>
          <w:szCs w:val="20"/>
        </w:rPr>
      </w:pPr>
      <w:r w:rsidRPr="009D36BB">
        <w:rPr>
          <w:rFonts w:asciiTheme="majorHAnsi" w:eastAsia="Times New Roman" w:hAnsiTheme="majorHAnsi"/>
          <w:b/>
          <w:bCs/>
          <w:iCs/>
          <w:color w:val="000000"/>
          <w:sz w:val="24"/>
          <w:szCs w:val="20"/>
        </w:rPr>
        <w:t>Expecta</w:t>
      </w:r>
      <w:r w:rsidR="009D36BB">
        <w:rPr>
          <w:rFonts w:asciiTheme="majorHAnsi" w:eastAsia="Times New Roman" w:hAnsiTheme="majorHAnsi"/>
          <w:b/>
          <w:bCs/>
          <w:iCs/>
          <w:color w:val="000000"/>
          <w:sz w:val="24"/>
          <w:szCs w:val="20"/>
        </w:rPr>
        <w:t>tions at all levels of Lecturer</w:t>
      </w:r>
      <w:r w:rsidR="003C6F46" w:rsidRPr="003C6F46">
        <w:rPr>
          <w:rFonts w:asciiTheme="majorHAnsi" w:eastAsia="Times New Roman" w:hAnsiTheme="majorHAnsi"/>
          <w:b/>
          <w:bCs/>
          <w:iCs/>
          <w:color w:val="000000"/>
          <w:sz w:val="24"/>
          <w:szCs w:val="24"/>
        </w:rPr>
        <w:t xml:space="preserve"> (</w:t>
      </w:r>
      <w:r w:rsidR="003C6F46" w:rsidRPr="003C6F46">
        <w:rPr>
          <w:rFonts w:asciiTheme="majorHAnsi" w:eastAsia="Times New Roman" w:hAnsiTheme="majorHAnsi"/>
          <w:b/>
          <w:sz w:val="24"/>
          <w:szCs w:val="24"/>
        </w:rPr>
        <w:t xml:space="preserve">Includes Lecturers, Senior Lecturers, and Principal Lecturers on year-to-year, multi-year (MY), or rolling multi-year (RMY) appointments) </w:t>
      </w:r>
    </w:p>
    <w:p w14:paraId="54D4D6BF" w14:textId="4DE6E256" w:rsidR="00C13AAE" w:rsidRPr="009D36BB" w:rsidRDefault="00C13AAE" w:rsidP="009D36BB">
      <w:pPr>
        <w:spacing w:after="0"/>
        <w:contextualSpacing/>
        <w:rPr>
          <w:rFonts w:asciiTheme="majorHAnsi" w:eastAsia="Times New Roman" w:hAnsiTheme="majorHAnsi"/>
          <w:b/>
          <w:sz w:val="20"/>
          <w:szCs w:val="20"/>
        </w:rPr>
      </w:pPr>
    </w:p>
    <w:p w14:paraId="043F537A" w14:textId="77777777" w:rsidR="00C13AAE" w:rsidRPr="00114ACC" w:rsidRDefault="00C13AAE" w:rsidP="009D36BB">
      <w:pPr>
        <w:numPr>
          <w:ilvl w:val="0"/>
          <w:numId w:val="1"/>
        </w:numPr>
        <w:spacing w:after="0"/>
        <w:contextualSpacing/>
        <w:textAlignment w:val="baseline"/>
        <w:rPr>
          <w:rFonts w:asciiTheme="majorHAnsi" w:eastAsia="Times New Roman" w:hAnsiTheme="majorHAnsi"/>
          <w:color w:val="000000"/>
          <w:sz w:val="20"/>
          <w:szCs w:val="20"/>
        </w:rPr>
      </w:pP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>Effective teaching using best educational practices, as evidenced by such measures as the standard departmental student evaluations, student responses to any other systematic measurement, peer reviews, or other indices.</w:t>
      </w:r>
    </w:p>
    <w:p w14:paraId="0C722CFD" w14:textId="77777777" w:rsidR="00C13AAE" w:rsidRPr="00114ACC" w:rsidRDefault="00510DD7" w:rsidP="009D36BB">
      <w:pPr>
        <w:numPr>
          <w:ilvl w:val="0"/>
          <w:numId w:val="2"/>
        </w:numPr>
        <w:spacing w:after="0"/>
        <w:contextualSpacing/>
        <w:textAlignment w:val="baseline"/>
        <w:rPr>
          <w:rFonts w:asciiTheme="majorHAnsi" w:eastAsia="Times New Roman" w:hAnsiTheme="majorHAnsi"/>
          <w:color w:val="000000"/>
          <w:sz w:val="20"/>
          <w:szCs w:val="20"/>
        </w:rPr>
      </w:pPr>
      <w:r w:rsidRPr="00114ACC">
        <w:rPr>
          <w:rFonts w:asciiTheme="majorHAnsi" w:hAnsiTheme="majorHAnsi"/>
          <w:sz w:val="20"/>
          <w:szCs w:val="20"/>
        </w:rPr>
        <w:t>Continuous record of excellence in teaching and mentoring</w:t>
      </w:r>
      <w:r w:rsidR="00C13AAE" w:rsidRPr="00114ACC">
        <w:rPr>
          <w:rFonts w:asciiTheme="majorHAnsi" w:eastAsia="Times New Roman" w:hAnsiTheme="majorHAnsi"/>
          <w:color w:val="000000"/>
          <w:sz w:val="20"/>
          <w:szCs w:val="20"/>
        </w:rPr>
        <w:t xml:space="preserve">. </w:t>
      </w:r>
    </w:p>
    <w:p w14:paraId="1334AC32" w14:textId="77777777" w:rsidR="00C13AAE" w:rsidRPr="00114ACC" w:rsidRDefault="00C13AAE" w:rsidP="009D36BB">
      <w:pPr>
        <w:numPr>
          <w:ilvl w:val="0"/>
          <w:numId w:val="3"/>
        </w:numPr>
        <w:spacing w:after="0"/>
        <w:contextualSpacing/>
        <w:textAlignment w:val="baseline"/>
        <w:rPr>
          <w:rFonts w:asciiTheme="majorHAnsi" w:eastAsia="Times New Roman" w:hAnsiTheme="majorHAnsi"/>
          <w:color w:val="000000"/>
          <w:sz w:val="20"/>
          <w:szCs w:val="20"/>
        </w:rPr>
      </w:pP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 xml:space="preserve">Participation in </w:t>
      </w:r>
      <w:r w:rsidR="00510DD7" w:rsidRPr="00114ACC">
        <w:rPr>
          <w:rFonts w:asciiTheme="majorHAnsi" w:eastAsia="Times New Roman" w:hAnsiTheme="majorHAnsi"/>
          <w:color w:val="000000"/>
          <w:sz w:val="20"/>
          <w:szCs w:val="20"/>
        </w:rPr>
        <w:t xml:space="preserve">School of Social and Family Dynamics (SSFD) </w:t>
      </w: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>activities and workshops related to programs of instruction  </w:t>
      </w:r>
    </w:p>
    <w:p w14:paraId="66BEBC2D" w14:textId="77777777" w:rsidR="00C13AAE" w:rsidRPr="00114ACC" w:rsidRDefault="00C13AAE" w:rsidP="009D36BB">
      <w:pPr>
        <w:numPr>
          <w:ilvl w:val="0"/>
          <w:numId w:val="4"/>
        </w:numPr>
        <w:spacing w:after="0"/>
        <w:contextualSpacing/>
        <w:textAlignment w:val="baseline"/>
        <w:rPr>
          <w:rFonts w:asciiTheme="majorHAnsi" w:eastAsia="Times New Roman" w:hAnsiTheme="majorHAnsi"/>
          <w:color w:val="000000"/>
          <w:sz w:val="20"/>
          <w:szCs w:val="20"/>
        </w:rPr>
      </w:pP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>Well-developed, up-to-date syllabi, course materials, and course design that reflect program goals and requirements, and best practices in the use of current educational technology  </w:t>
      </w:r>
    </w:p>
    <w:p w14:paraId="3E45E529" w14:textId="77777777" w:rsidR="00C13AAE" w:rsidRPr="00114ACC" w:rsidRDefault="00C13AAE" w:rsidP="009D36BB">
      <w:pPr>
        <w:numPr>
          <w:ilvl w:val="0"/>
          <w:numId w:val="5"/>
        </w:numPr>
        <w:spacing w:after="0"/>
        <w:contextualSpacing/>
        <w:textAlignment w:val="baseline"/>
        <w:rPr>
          <w:rFonts w:asciiTheme="majorHAnsi" w:eastAsia="Times New Roman" w:hAnsiTheme="majorHAnsi"/>
          <w:color w:val="000000"/>
          <w:sz w:val="20"/>
          <w:szCs w:val="20"/>
        </w:rPr>
      </w:pP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>Use of assessment techniques that tap into students’ conceptual understanding of the course content</w:t>
      </w:r>
    </w:p>
    <w:p w14:paraId="1A75356E" w14:textId="77777777" w:rsidR="00C13AAE" w:rsidRPr="00114ACC" w:rsidRDefault="00C13AAE" w:rsidP="009D36BB">
      <w:pPr>
        <w:numPr>
          <w:ilvl w:val="0"/>
          <w:numId w:val="6"/>
        </w:numPr>
        <w:spacing w:after="0"/>
        <w:contextualSpacing/>
        <w:textAlignment w:val="baseline"/>
        <w:rPr>
          <w:rFonts w:asciiTheme="majorHAnsi" w:eastAsia="Times New Roman" w:hAnsiTheme="majorHAnsi"/>
          <w:color w:val="000000"/>
          <w:sz w:val="20"/>
          <w:szCs w:val="20"/>
        </w:rPr>
      </w:pP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>Professional demeanor interacting with students, in and out of the classroom, including with T</w:t>
      </w:r>
      <w:r w:rsidR="00566EE7" w:rsidRPr="00114ACC">
        <w:rPr>
          <w:rFonts w:asciiTheme="majorHAnsi" w:eastAsia="Times New Roman" w:hAnsiTheme="majorHAnsi"/>
          <w:color w:val="000000"/>
          <w:sz w:val="20"/>
          <w:szCs w:val="20"/>
        </w:rPr>
        <w:t xml:space="preserve">eaching </w:t>
      </w: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>A</w:t>
      </w:r>
      <w:r w:rsidR="00566EE7" w:rsidRPr="00114ACC">
        <w:rPr>
          <w:rFonts w:asciiTheme="majorHAnsi" w:eastAsia="Times New Roman" w:hAnsiTheme="majorHAnsi"/>
          <w:color w:val="000000"/>
          <w:sz w:val="20"/>
          <w:szCs w:val="20"/>
        </w:rPr>
        <w:t>ssistant</w:t>
      </w: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>s.</w:t>
      </w:r>
    </w:p>
    <w:p w14:paraId="1D8F8724" w14:textId="77777777" w:rsidR="00C13AAE" w:rsidRPr="00114ACC" w:rsidRDefault="00C13AAE" w:rsidP="009D36BB">
      <w:pPr>
        <w:numPr>
          <w:ilvl w:val="0"/>
          <w:numId w:val="7"/>
        </w:numPr>
        <w:spacing w:after="0"/>
        <w:contextualSpacing/>
        <w:textAlignment w:val="baseline"/>
        <w:rPr>
          <w:rFonts w:asciiTheme="majorHAnsi" w:eastAsia="Times New Roman" w:hAnsiTheme="majorHAnsi"/>
          <w:color w:val="000000"/>
          <w:sz w:val="20"/>
          <w:szCs w:val="20"/>
        </w:rPr>
      </w:pP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 xml:space="preserve">Maintaining regular office hours, or developing a systematic means of availability in cases of online course, and meeting the administrative expectations of </w:t>
      </w:r>
      <w:r w:rsidR="00510DD7" w:rsidRPr="00114ACC">
        <w:rPr>
          <w:rFonts w:asciiTheme="majorHAnsi" w:eastAsia="Times New Roman" w:hAnsiTheme="majorHAnsi"/>
          <w:color w:val="000000"/>
          <w:sz w:val="20"/>
          <w:szCs w:val="20"/>
        </w:rPr>
        <w:t>SSFD</w:t>
      </w: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 xml:space="preserve"> for its instructional staff (including timely responses to requests for course planning and book orders, providing SSFD with copies of syllabi and course evaluations.)</w:t>
      </w:r>
    </w:p>
    <w:p w14:paraId="2640432D" w14:textId="415F7752" w:rsidR="00C13AAE" w:rsidRPr="00114ACC" w:rsidRDefault="00C13AAE" w:rsidP="009D36BB">
      <w:pPr>
        <w:numPr>
          <w:ilvl w:val="0"/>
          <w:numId w:val="8"/>
        </w:numPr>
        <w:spacing w:after="0"/>
        <w:contextualSpacing/>
        <w:textAlignment w:val="baseline"/>
        <w:rPr>
          <w:rFonts w:asciiTheme="majorHAnsi" w:eastAsia="Times New Roman" w:hAnsiTheme="majorHAnsi"/>
          <w:color w:val="000000"/>
          <w:sz w:val="20"/>
          <w:szCs w:val="20"/>
        </w:rPr>
      </w:pP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>Appropriate participation in unit/college/university</w:t>
      </w:r>
      <w:r w:rsidR="004F194C">
        <w:rPr>
          <w:rFonts w:asciiTheme="majorHAnsi" w:eastAsia="Times New Roman" w:hAnsiTheme="majorHAnsi"/>
          <w:color w:val="000000"/>
          <w:sz w:val="20"/>
          <w:szCs w:val="20"/>
        </w:rPr>
        <w:t>/community</w:t>
      </w: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 xml:space="preserve"> service activities.</w:t>
      </w:r>
    </w:p>
    <w:p w14:paraId="0A5DD9B0" w14:textId="430651C9" w:rsidR="00C13AAE" w:rsidRPr="00114ACC" w:rsidRDefault="00C13AAE" w:rsidP="009D36BB">
      <w:pPr>
        <w:numPr>
          <w:ilvl w:val="0"/>
          <w:numId w:val="9"/>
        </w:numPr>
        <w:spacing w:after="0"/>
        <w:contextualSpacing/>
        <w:textAlignment w:val="baseline"/>
        <w:rPr>
          <w:rFonts w:asciiTheme="majorHAnsi" w:eastAsia="Times New Roman" w:hAnsiTheme="majorHAnsi"/>
          <w:color w:val="000000"/>
          <w:sz w:val="20"/>
          <w:szCs w:val="20"/>
        </w:rPr>
      </w:pP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 xml:space="preserve">Adherence to </w:t>
      </w:r>
      <w:r w:rsidR="008648B1" w:rsidRPr="00114ACC">
        <w:rPr>
          <w:rFonts w:asciiTheme="majorHAnsi" w:eastAsia="Times New Roman" w:hAnsiTheme="majorHAnsi"/>
          <w:color w:val="000000"/>
          <w:sz w:val="20"/>
          <w:szCs w:val="20"/>
        </w:rPr>
        <w:t>unit, college, university, and Arizona Board of Regents’ policies and procedures.</w:t>
      </w:r>
    </w:p>
    <w:p w14:paraId="4D74DB3A" w14:textId="77777777" w:rsidR="002422AA" w:rsidRPr="00114ACC" w:rsidRDefault="002422AA" w:rsidP="009D36BB">
      <w:pPr>
        <w:spacing w:after="0"/>
        <w:contextualSpacing/>
        <w:rPr>
          <w:rFonts w:asciiTheme="majorHAnsi" w:eastAsia="Times New Roman" w:hAnsiTheme="majorHAnsi"/>
          <w:bCs/>
          <w:iCs/>
          <w:color w:val="000000"/>
          <w:sz w:val="20"/>
          <w:szCs w:val="20"/>
        </w:rPr>
      </w:pPr>
    </w:p>
    <w:p w14:paraId="5278B268" w14:textId="150F2151" w:rsidR="00236858" w:rsidRDefault="00C13AAE" w:rsidP="009D36BB">
      <w:pPr>
        <w:spacing w:after="0"/>
        <w:contextualSpacing/>
        <w:rPr>
          <w:rFonts w:asciiTheme="majorHAnsi" w:eastAsia="Times New Roman" w:hAnsiTheme="majorHAnsi"/>
          <w:b/>
          <w:bCs/>
          <w:iCs/>
          <w:color w:val="000000"/>
          <w:sz w:val="24"/>
          <w:szCs w:val="20"/>
        </w:rPr>
      </w:pPr>
      <w:r w:rsidRPr="00236858">
        <w:rPr>
          <w:rFonts w:asciiTheme="majorHAnsi" w:eastAsia="Times New Roman" w:hAnsiTheme="majorHAnsi"/>
          <w:b/>
          <w:bCs/>
          <w:iCs/>
          <w:color w:val="000000"/>
          <w:sz w:val="24"/>
          <w:szCs w:val="20"/>
        </w:rPr>
        <w:t>Criteria for Promotion</w:t>
      </w:r>
    </w:p>
    <w:p w14:paraId="5CAD4EF1" w14:textId="2A3E0F76" w:rsidR="009D36BB" w:rsidRDefault="009D36BB" w:rsidP="00775A12">
      <w:pPr>
        <w:spacing w:after="0"/>
        <w:contextualSpacing/>
        <w:rPr>
          <w:rFonts w:asciiTheme="majorHAnsi" w:eastAsia="Times New Roman" w:hAnsiTheme="majorHAnsi"/>
          <w:b/>
          <w:bCs/>
          <w:iCs/>
          <w:color w:val="000000"/>
          <w:sz w:val="20"/>
          <w:szCs w:val="20"/>
        </w:rPr>
      </w:pPr>
      <w:r w:rsidRPr="00236858">
        <w:rPr>
          <w:rFonts w:asciiTheme="majorHAnsi" w:eastAsia="Times New Roman" w:hAnsiTheme="majorHAnsi"/>
          <w:bCs/>
          <w:color w:val="000000"/>
          <w:sz w:val="20"/>
          <w:szCs w:val="20"/>
        </w:rPr>
        <w:t>Process Guide for promotion can be found at</w:t>
      </w:r>
      <w:r w:rsidR="00775A12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</w:t>
      </w:r>
      <w:hyperlink r:id="rId9" w:history="1">
        <w:r w:rsidR="00775A12" w:rsidRPr="002354C7">
          <w:rPr>
            <w:rStyle w:val="Hyperlink"/>
            <w:sz w:val="20"/>
            <w:szCs w:val="20"/>
          </w:rPr>
          <w:t>https://provost.asu.edu/policies/procedures/p22.html</w:t>
        </w:r>
      </w:hyperlink>
      <w:r w:rsidR="00F60CFF">
        <w:rPr>
          <w:rFonts w:asciiTheme="majorHAnsi" w:eastAsia="Times New Roman" w:hAnsiTheme="majorHAnsi"/>
          <w:b/>
          <w:bCs/>
          <w:iCs/>
          <w:color w:val="000000"/>
          <w:sz w:val="20"/>
          <w:szCs w:val="20"/>
        </w:rPr>
        <w:tab/>
      </w:r>
    </w:p>
    <w:p w14:paraId="3823FF05" w14:textId="7BEB51E3" w:rsidR="00236858" w:rsidRDefault="00C13AAE" w:rsidP="009D36BB">
      <w:pPr>
        <w:pStyle w:val="ListParagraph"/>
        <w:numPr>
          <w:ilvl w:val="0"/>
          <w:numId w:val="25"/>
        </w:numPr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236858">
        <w:rPr>
          <w:rFonts w:asciiTheme="majorHAnsi" w:eastAsia="Times New Roman" w:hAnsiTheme="majorHAnsi"/>
          <w:b/>
          <w:bCs/>
          <w:iCs/>
          <w:color w:val="000000"/>
          <w:sz w:val="20"/>
          <w:szCs w:val="20"/>
        </w:rPr>
        <w:t>Promotion to Senior Lecturer</w:t>
      </w:r>
      <w:r w:rsidRPr="00236858">
        <w:rPr>
          <w:rFonts w:asciiTheme="majorHAnsi" w:eastAsia="Times New Roman" w:hAnsiTheme="majorHAnsi"/>
          <w:sz w:val="20"/>
          <w:szCs w:val="20"/>
        </w:rPr>
        <w:br/>
      </w:r>
      <w:r w:rsidR="008648B1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Candidates seeking promotion to Senior Lecturer will have a minimum of </w:t>
      </w:r>
      <w:r w:rsidR="001835D7">
        <w:rPr>
          <w:rFonts w:asciiTheme="majorHAnsi" w:eastAsia="Times New Roman" w:hAnsiTheme="majorHAnsi"/>
          <w:color w:val="000000"/>
          <w:sz w:val="20"/>
          <w:szCs w:val="20"/>
        </w:rPr>
        <w:t>5</w:t>
      </w:r>
      <w:r w:rsidR="008648B1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 years’ experience </w:t>
      </w: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>in rank of Lecturer</w:t>
      </w:r>
      <w:r w:rsidR="008648B1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 at ASU. In cases of extraordinary merit or under special circumstances,</w:t>
      </w:r>
      <w:r w:rsidR="00405215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="008648B1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candidates </w:t>
      </w: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may warrant earlier consideration as determined in consultation with the Director of SSFD. </w:t>
      </w:r>
      <w:bookmarkStart w:id="0" w:name="OLE_LINK4"/>
      <w:bookmarkStart w:id="1" w:name="OLE_LINK5"/>
      <w:r w:rsidR="003724DD">
        <w:rPr>
          <w:rFonts w:asciiTheme="majorHAnsi" w:hAnsiTheme="majorHAnsi"/>
          <w:sz w:val="20"/>
          <w:szCs w:val="20"/>
        </w:rPr>
        <w:t>Typically</w:t>
      </w:r>
      <w:r w:rsidR="00A40887">
        <w:rPr>
          <w:rFonts w:asciiTheme="majorHAnsi" w:hAnsiTheme="majorHAnsi"/>
          <w:sz w:val="20"/>
          <w:szCs w:val="20"/>
        </w:rPr>
        <w:t xml:space="preserve">, candidates for promotion to Senior Lecturer in the Sanford School are expected to have </w:t>
      </w:r>
      <w:r w:rsidR="00F500CA" w:rsidRPr="00236858">
        <w:rPr>
          <w:rFonts w:asciiTheme="majorHAnsi" w:hAnsiTheme="majorHAnsi"/>
          <w:sz w:val="20"/>
          <w:szCs w:val="20"/>
        </w:rPr>
        <w:t>an earned doctorate in the discipline taught (or appropriate terminal degree in those disciplines that do not award a doctorate).</w:t>
      </w:r>
      <w:bookmarkEnd w:id="0"/>
      <w:bookmarkEnd w:id="1"/>
      <w:r w:rsidR="00F500CA" w:rsidRPr="00236858">
        <w:rPr>
          <w:rFonts w:asciiTheme="majorHAnsi" w:hAnsiTheme="majorHAnsi"/>
          <w:sz w:val="20"/>
          <w:szCs w:val="20"/>
        </w:rPr>
        <w:t xml:space="preserve">  </w:t>
      </w:r>
      <w:r w:rsidRPr="00236858">
        <w:rPr>
          <w:rFonts w:asciiTheme="majorHAnsi" w:eastAsia="Times New Roman" w:hAnsiTheme="majorHAnsi"/>
          <w:sz w:val="20"/>
          <w:szCs w:val="20"/>
        </w:rPr>
        <w:br/>
      </w:r>
      <w:r w:rsidRPr="00236858">
        <w:rPr>
          <w:rFonts w:asciiTheme="majorHAnsi" w:eastAsia="Times New Roman" w:hAnsiTheme="majorHAnsi"/>
          <w:sz w:val="20"/>
          <w:szCs w:val="20"/>
        </w:rPr>
        <w:br/>
      </w: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>In addition to the basic expectations for the rank of Lecturer, candidates for Senior Lecturer will demonstr</w:t>
      </w:r>
      <w:r w:rsidR="006F4958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ate </w:t>
      </w:r>
      <w:r w:rsidR="00EF60DF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excellence as required in Sections </w:t>
      </w:r>
      <w:r w:rsidR="009D36BB">
        <w:rPr>
          <w:rFonts w:asciiTheme="majorHAnsi" w:eastAsia="Times New Roman" w:hAnsiTheme="majorHAnsi"/>
          <w:color w:val="000000"/>
          <w:sz w:val="20"/>
          <w:szCs w:val="20"/>
        </w:rPr>
        <w:t>I.A</w:t>
      </w:r>
      <w:r w:rsidR="00EF60DF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 and </w:t>
      </w:r>
      <w:r w:rsidR="009D36BB">
        <w:rPr>
          <w:rFonts w:asciiTheme="majorHAnsi" w:eastAsia="Times New Roman" w:hAnsiTheme="majorHAnsi"/>
          <w:color w:val="000000"/>
          <w:sz w:val="20"/>
          <w:szCs w:val="20"/>
        </w:rPr>
        <w:t>I.B</w:t>
      </w:r>
      <w:r w:rsidR="00EF60DF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 below. </w:t>
      </w:r>
    </w:p>
    <w:p w14:paraId="48726A19" w14:textId="46E12DED" w:rsidR="00236858" w:rsidRPr="00236858" w:rsidRDefault="00C13AAE" w:rsidP="009D36BB">
      <w:pPr>
        <w:pStyle w:val="ListParagraph"/>
        <w:numPr>
          <w:ilvl w:val="1"/>
          <w:numId w:val="25"/>
        </w:numPr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236858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 xml:space="preserve">Excellence in teaching </w:t>
      </w:r>
    </w:p>
    <w:p w14:paraId="3A548AFC" w14:textId="389DE8AA" w:rsidR="00236858" w:rsidRPr="00236858" w:rsidRDefault="00566EE7" w:rsidP="009D36BB">
      <w:pPr>
        <w:pStyle w:val="ListParagraph"/>
        <w:spacing w:after="0"/>
        <w:ind w:left="144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236858">
        <w:rPr>
          <w:rFonts w:asciiTheme="majorHAnsi" w:hAnsiTheme="majorHAnsi"/>
        </w:rPr>
        <w:t>Excellence</w:t>
      </w:r>
      <w:r w:rsidR="00C13AAE" w:rsidRPr="00236858">
        <w:rPr>
          <w:rFonts w:asciiTheme="majorHAnsi" w:hAnsiTheme="majorHAnsi"/>
        </w:rPr>
        <w:t xml:space="preserve"> in teaching </w:t>
      </w:r>
      <w:r w:rsidR="00405215" w:rsidRPr="00236858">
        <w:rPr>
          <w:rFonts w:asciiTheme="majorHAnsi" w:hAnsiTheme="majorHAnsi"/>
        </w:rPr>
        <w:t xml:space="preserve">must </w:t>
      </w:r>
      <w:r w:rsidR="00C13AAE" w:rsidRPr="00236858">
        <w:rPr>
          <w:rFonts w:asciiTheme="majorHAnsi" w:hAnsiTheme="majorHAnsi"/>
        </w:rPr>
        <w:t xml:space="preserve">be evidenced by </w:t>
      </w:r>
      <w:r w:rsidR="00BA397E">
        <w:rPr>
          <w:rFonts w:asciiTheme="majorHAnsi" w:hAnsiTheme="majorHAnsi"/>
        </w:rPr>
        <w:t xml:space="preserve">both </w:t>
      </w:r>
      <w:proofErr w:type="spellStart"/>
      <w:r w:rsidR="00A40887">
        <w:rPr>
          <w:rFonts w:asciiTheme="majorHAnsi" w:hAnsiTheme="majorHAnsi"/>
        </w:rPr>
        <w:t>A.</w:t>
      </w:r>
      <w:r w:rsidR="00BA397E">
        <w:rPr>
          <w:rFonts w:asciiTheme="majorHAnsi" w:hAnsiTheme="majorHAnsi"/>
        </w:rPr>
        <w:t>i</w:t>
      </w:r>
      <w:proofErr w:type="spellEnd"/>
      <w:r w:rsidR="00BA397E">
        <w:rPr>
          <w:rFonts w:asciiTheme="majorHAnsi" w:hAnsiTheme="majorHAnsi"/>
        </w:rPr>
        <w:t xml:space="preserve"> and </w:t>
      </w:r>
      <w:proofErr w:type="spellStart"/>
      <w:r w:rsidR="00A40887">
        <w:rPr>
          <w:rFonts w:asciiTheme="majorHAnsi" w:hAnsiTheme="majorHAnsi"/>
        </w:rPr>
        <w:t>A.</w:t>
      </w:r>
      <w:r w:rsidR="00BA397E">
        <w:rPr>
          <w:rFonts w:asciiTheme="majorHAnsi" w:hAnsiTheme="majorHAnsi"/>
        </w:rPr>
        <w:t>ii</w:t>
      </w:r>
      <w:proofErr w:type="spellEnd"/>
      <w:r w:rsidR="00BA397E">
        <w:rPr>
          <w:rFonts w:asciiTheme="majorHAnsi" w:hAnsiTheme="majorHAnsi"/>
        </w:rPr>
        <w:t xml:space="preserve"> and </w:t>
      </w:r>
      <w:r w:rsidR="00F500CA" w:rsidRPr="00236858">
        <w:rPr>
          <w:rFonts w:asciiTheme="majorHAnsi" w:hAnsiTheme="majorHAnsi"/>
        </w:rPr>
        <w:t xml:space="preserve">at least </w:t>
      </w:r>
      <w:r w:rsidR="00BA397E">
        <w:rPr>
          <w:rFonts w:asciiTheme="majorHAnsi" w:hAnsiTheme="majorHAnsi"/>
        </w:rPr>
        <w:t xml:space="preserve">two </w:t>
      </w:r>
      <w:r w:rsidR="00A40887">
        <w:rPr>
          <w:rFonts w:asciiTheme="majorHAnsi" w:hAnsiTheme="majorHAnsi"/>
        </w:rPr>
        <w:t>from</w:t>
      </w:r>
      <w:r w:rsidR="006F4958" w:rsidRPr="00236858">
        <w:rPr>
          <w:rFonts w:asciiTheme="majorHAnsi" w:hAnsiTheme="majorHAnsi"/>
        </w:rPr>
        <w:t xml:space="preserve"> </w:t>
      </w:r>
      <w:r w:rsidR="00BA397E">
        <w:rPr>
          <w:rFonts w:asciiTheme="majorHAnsi" w:hAnsiTheme="majorHAnsi"/>
        </w:rPr>
        <w:t xml:space="preserve">the </w:t>
      </w:r>
      <w:r w:rsidR="00A40887">
        <w:rPr>
          <w:rFonts w:asciiTheme="majorHAnsi" w:hAnsiTheme="majorHAnsi"/>
        </w:rPr>
        <w:t xml:space="preserve">remaining </w:t>
      </w:r>
      <w:r w:rsidR="00BA397E">
        <w:rPr>
          <w:rFonts w:asciiTheme="majorHAnsi" w:hAnsiTheme="majorHAnsi"/>
        </w:rPr>
        <w:t>indicators</w:t>
      </w:r>
      <w:r w:rsidR="00CC7981">
        <w:rPr>
          <w:rFonts w:asciiTheme="majorHAnsi" w:hAnsiTheme="majorHAnsi"/>
        </w:rPr>
        <w:t xml:space="preserve"> on the list</w:t>
      </w:r>
      <w:r w:rsidR="00BA397E">
        <w:rPr>
          <w:rFonts w:asciiTheme="majorHAnsi" w:hAnsiTheme="majorHAnsi"/>
        </w:rPr>
        <w:t xml:space="preserve"> </w:t>
      </w:r>
      <w:r w:rsidR="00A40887">
        <w:rPr>
          <w:rFonts w:asciiTheme="majorHAnsi" w:hAnsiTheme="majorHAnsi"/>
        </w:rPr>
        <w:t>(</w:t>
      </w:r>
      <w:proofErr w:type="spellStart"/>
      <w:r w:rsidR="00A40887">
        <w:rPr>
          <w:rFonts w:asciiTheme="majorHAnsi" w:hAnsiTheme="majorHAnsi"/>
        </w:rPr>
        <w:t>A.</w:t>
      </w:r>
      <w:r w:rsidR="00BA397E">
        <w:rPr>
          <w:rFonts w:asciiTheme="majorHAnsi" w:hAnsiTheme="majorHAnsi"/>
        </w:rPr>
        <w:t>iii</w:t>
      </w:r>
      <w:proofErr w:type="spellEnd"/>
      <w:r w:rsidR="00BA397E">
        <w:rPr>
          <w:rFonts w:asciiTheme="majorHAnsi" w:hAnsiTheme="majorHAnsi"/>
        </w:rPr>
        <w:t xml:space="preserve"> </w:t>
      </w:r>
      <w:r w:rsidR="00CC7981">
        <w:rPr>
          <w:rFonts w:asciiTheme="majorHAnsi" w:hAnsiTheme="majorHAnsi"/>
        </w:rPr>
        <w:t xml:space="preserve">through </w:t>
      </w:r>
      <w:r w:rsidR="00A40887">
        <w:rPr>
          <w:rFonts w:asciiTheme="majorHAnsi" w:hAnsiTheme="majorHAnsi"/>
        </w:rPr>
        <w:t>A.</w:t>
      </w:r>
      <w:r w:rsidR="00BA397E">
        <w:rPr>
          <w:rFonts w:asciiTheme="majorHAnsi" w:hAnsiTheme="majorHAnsi"/>
        </w:rPr>
        <w:t>vi</w:t>
      </w:r>
      <w:r w:rsidR="00CC7981">
        <w:rPr>
          <w:rFonts w:asciiTheme="majorHAnsi" w:hAnsiTheme="majorHAnsi"/>
        </w:rPr>
        <w:t>)</w:t>
      </w:r>
      <w:r w:rsidR="006F4958" w:rsidRPr="00236858">
        <w:rPr>
          <w:rFonts w:asciiTheme="majorHAnsi" w:hAnsiTheme="majorHAnsi"/>
        </w:rPr>
        <w:t>:</w:t>
      </w:r>
    </w:p>
    <w:p w14:paraId="202B0467" w14:textId="37C80992" w:rsidR="00236858" w:rsidRPr="00F74267" w:rsidRDefault="00BA397E" w:rsidP="009D36BB">
      <w:pPr>
        <w:pStyle w:val="ListParagraph"/>
        <w:numPr>
          <w:ilvl w:val="2"/>
          <w:numId w:val="25"/>
        </w:numPr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F74267">
        <w:rPr>
          <w:rFonts w:asciiTheme="majorHAnsi" w:eastAsia="Times New Roman" w:hAnsiTheme="majorHAnsi"/>
          <w:color w:val="000000"/>
          <w:sz w:val="20"/>
          <w:szCs w:val="20"/>
        </w:rPr>
        <w:t xml:space="preserve">Required: </w:t>
      </w:r>
      <w:r w:rsidR="00C13AAE" w:rsidRPr="00F74267">
        <w:rPr>
          <w:rFonts w:asciiTheme="majorHAnsi" w:eastAsia="Times New Roman" w:hAnsiTheme="majorHAnsi"/>
          <w:color w:val="000000"/>
          <w:sz w:val="20"/>
          <w:szCs w:val="20"/>
        </w:rPr>
        <w:t xml:space="preserve">Standard </w:t>
      </w:r>
      <w:r w:rsidR="006F4958" w:rsidRPr="00F74267">
        <w:rPr>
          <w:rFonts w:asciiTheme="majorHAnsi" w:eastAsia="Times New Roman" w:hAnsiTheme="majorHAnsi"/>
          <w:color w:val="000000"/>
          <w:sz w:val="20"/>
          <w:szCs w:val="20"/>
        </w:rPr>
        <w:t>SSFD</w:t>
      </w:r>
      <w:r w:rsidR="00C13AAE" w:rsidRPr="00F74267">
        <w:rPr>
          <w:rFonts w:asciiTheme="majorHAnsi" w:eastAsia="Times New Roman" w:hAnsiTheme="majorHAnsi"/>
          <w:color w:val="000000"/>
          <w:sz w:val="20"/>
          <w:szCs w:val="20"/>
        </w:rPr>
        <w:t xml:space="preserve"> student teaching evaluations</w:t>
      </w:r>
      <w:r w:rsidR="00D055D6" w:rsidRPr="00F74267">
        <w:rPr>
          <w:rFonts w:asciiTheme="majorHAnsi" w:eastAsia="Times New Roman" w:hAnsiTheme="majorHAnsi"/>
          <w:color w:val="000000"/>
          <w:sz w:val="20"/>
          <w:szCs w:val="20"/>
        </w:rPr>
        <w:t xml:space="preserve">  - </w:t>
      </w:r>
      <w:r w:rsidR="003724DD" w:rsidRPr="00F74267">
        <w:t xml:space="preserve"> Indicating—on average over the period in rank—above satisfactory ratings</w:t>
      </w:r>
    </w:p>
    <w:p w14:paraId="3B107F6E" w14:textId="1023E61B" w:rsidR="00BA397E" w:rsidRPr="00F74267" w:rsidRDefault="00BA397E" w:rsidP="00BA397E">
      <w:pPr>
        <w:pStyle w:val="ListParagraph"/>
        <w:numPr>
          <w:ilvl w:val="2"/>
          <w:numId w:val="25"/>
        </w:numPr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F74267">
        <w:rPr>
          <w:rFonts w:asciiTheme="majorHAnsi" w:eastAsia="Times New Roman" w:hAnsiTheme="majorHAnsi"/>
          <w:color w:val="000000"/>
          <w:sz w:val="20"/>
          <w:szCs w:val="20"/>
        </w:rPr>
        <w:t>Required: Annual evaluations – must have achieved above satisfactory</w:t>
      </w:r>
      <w:r w:rsidR="003724DD" w:rsidRPr="00F74267">
        <w:rPr>
          <w:rFonts w:asciiTheme="majorHAnsi" w:eastAsia="Times New Roman" w:hAnsiTheme="majorHAnsi"/>
          <w:color w:val="000000"/>
          <w:sz w:val="20"/>
          <w:szCs w:val="20"/>
        </w:rPr>
        <w:t xml:space="preserve"> in Instruction</w:t>
      </w:r>
      <w:r w:rsidRPr="00F74267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="003724DD" w:rsidRPr="00F74267">
        <w:rPr>
          <w:rFonts w:asciiTheme="majorHAnsi" w:eastAsia="Times New Roman" w:hAnsiTheme="majorHAnsi"/>
          <w:color w:val="000000"/>
          <w:sz w:val="20"/>
          <w:szCs w:val="20"/>
        </w:rPr>
        <w:t xml:space="preserve">on </w:t>
      </w:r>
      <w:r w:rsidRPr="00F74267">
        <w:rPr>
          <w:rFonts w:asciiTheme="majorHAnsi" w:eastAsia="Times New Roman" w:hAnsiTheme="majorHAnsi"/>
          <w:color w:val="000000"/>
          <w:sz w:val="20"/>
          <w:szCs w:val="20"/>
        </w:rPr>
        <w:t>all annual evaluations over the period in rank.</w:t>
      </w:r>
    </w:p>
    <w:p w14:paraId="441FB39D" w14:textId="3D0FB19F" w:rsidR="00236858" w:rsidRDefault="00C13AAE" w:rsidP="009D36BB">
      <w:pPr>
        <w:pStyle w:val="ListParagraph"/>
        <w:numPr>
          <w:ilvl w:val="2"/>
          <w:numId w:val="25"/>
        </w:numPr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236858">
        <w:rPr>
          <w:rFonts w:asciiTheme="majorHAnsi" w:eastAsia="Times New Roman" w:hAnsiTheme="majorHAnsi"/>
          <w:color w:val="000000"/>
          <w:sz w:val="20"/>
          <w:szCs w:val="20"/>
        </w:rPr>
        <w:lastRenderedPageBreak/>
        <w:t>High quality pedagogical techniques (use of appropriate and current instructional technologies; active learning principles)</w:t>
      </w:r>
    </w:p>
    <w:p w14:paraId="1C7C88FA" w14:textId="5B05E485" w:rsidR="00236858" w:rsidRDefault="00C13AAE" w:rsidP="009D36BB">
      <w:pPr>
        <w:pStyle w:val="ListParagraph"/>
        <w:numPr>
          <w:ilvl w:val="2"/>
          <w:numId w:val="25"/>
        </w:numPr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>Peer reviews</w:t>
      </w:r>
      <w:r w:rsidR="002E296F">
        <w:rPr>
          <w:rFonts w:asciiTheme="majorHAnsi" w:eastAsia="Times New Roman" w:hAnsiTheme="majorHAnsi"/>
          <w:color w:val="000000"/>
          <w:sz w:val="20"/>
          <w:szCs w:val="20"/>
        </w:rPr>
        <w:t xml:space="preserve"> – must be judged to be outstanding in written reviews conducted by peers or senior teaching mentors.</w:t>
      </w:r>
    </w:p>
    <w:p w14:paraId="3FB506DA" w14:textId="0545905B" w:rsidR="009F653B" w:rsidRPr="00114ACC" w:rsidRDefault="009F653B" w:rsidP="009F653B">
      <w:pPr>
        <w:pStyle w:val="ListParagraph"/>
        <w:numPr>
          <w:ilvl w:val="2"/>
          <w:numId w:val="25"/>
        </w:numPr>
        <w:spacing w:after="0"/>
        <w:contextualSpacing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F4630D">
        <w:rPr>
          <w:rFonts w:asciiTheme="majorHAnsi" w:eastAsia="Times New Roman" w:hAnsiTheme="majorHAnsi"/>
          <w:bCs/>
          <w:color w:val="000000"/>
          <w:sz w:val="20"/>
          <w:szCs w:val="20"/>
        </w:rPr>
        <w:t>Course or curricular development or the development of new pedagogies</w:t>
      </w:r>
      <w:r w:rsidR="00F4630D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 xml:space="preserve"> -- </w:t>
      </w:r>
      <w:r w:rsidR="00F4630D">
        <w:rPr>
          <w:rFonts w:asciiTheme="majorHAnsi" w:eastAsia="Times New Roman" w:hAnsiTheme="majorHAnsi"/>
          <w:color w:val="000000"/>
          <w:sz w:val="20"/>
          <w:szCs w:val="20"/>
        </w:rPr>
        <w:t>Evidence of (but not limited to)</w:t>
      </w: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 xml:space="preserve"> contributions to textbooks, archival course materials, or online teaching materials available to others (beyond the instructor’s own classes), preparing a course for online delivery, teaching a n</w:t>
      </w:r>
      <w:r>
        <w:rPr>
          <w:rFonts w:asciiTheme="majorHAnsi" w:eastAsia="Times New Roman" w:hAnsiTheme="majorHAnsi"/>
          <w:color w:val="000000"/>
          <w:sz w:val="20"/>
          <w:szCs w:val="20"/>
        </w:rPr>
        <w:t>ew course title.</w:t>
      </w:r>
    </w:p>
    <w:p w14:paraId="33FC9472" w14:textId="77777777" w:rsidR="00236858" w:rsidRDefault="006F4958" w:rsidP="009D36BB">
      <w:pPr>
        <w:pStyle w:val="ListParagraph"/>
        <w:numPr>
          <w:ilvl w:val="2"/>
          <w:numId w:val="25"/>
        </w:numPr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>T</w:t>
      </w:r>
      <w:r w:rsidR="00C13AAE" w:rsidRPr="00236858">
        <w:rPr>
          <w:rFonts w:asciiTheme="majorHAnsi" w:eastAsia="Times New Roman" w:hAnsiTheme="majorHAnsi"/>
          <w:color w:val="000000"/>
          <w:sz w:val="20"/>
          <w:szCs w:val="20"/>
        </w:rPr>
        <w:t>eaching awards or other external recognition</w:t>
      </w:r>
    </w:p>
    <w:p w14:paraId="28EFEA3C" w14:textId="77777777" w:rsidR="009D36BB" w:rsidRDefault="009D36BB" w:rsidP="009D36BB">
      <w:pPr>
        <w:pStyle w:val="ListParagraph"/>
        <w:spacing w:after="0"/>
        <w:ind w:left="216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</w:p>
    <w:p w14:paraId="6732A843" w14:textId="18C0F0F5" w:rsidR="00236858" w:rsidRPr="00236858" w:rsidRDefault="00C13AAE" w:rsidP="009D36BB">
      <w:pPr>
        <w:pStyle w:val="ListParagraph"/>
        <w:numPr>
          <w:ilvl w:val="1"/>
          <w:numId w:val="25"/>
        </w:numPr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236858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>Additional teaching-related achievements</w:t>
      </w:r>
    </w:p>
    <w:p w14:paraId="08DB35FD" w14:textId="6A10CB74" w:rsidR="00114ACC" w:rsidRPr="00236858" w:rsidRDefault="00C13AAE" w:rsidP="009D36BB">
      <w:pPr>
        <w:pStyle w:val="ListParagraph"/>
        <w:spacing w:after="0"/>
        <w:ind w:left="144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Candidates for promotion to the rank of Senior Lecturer should demonstrate engagement with SSFD and increasing knowledge of the teaching discipline, as represented by </w:t>
      </w:r>
      <w:r w:rsidR="00405215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at least one of </w:t>
      </w: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the following criteria. Evidence of achievement must be documented fully and carefully. The strongest cases will show a pattern of </w:t>
      </w:r>
      <w:r w:rsidR="00236858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activity </w:t>
      </w: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throughout the </w:t>
      </w:r>
      <w:r w:rsidR="00114ACC" w:rsidRPr="00236858">
        <w:rPr>
          <w:rFonts w:asciiTheme="majorHAnsi" w:eastAsia="Times New Roman" w:hAnsiTheme="majorHAnsi"/>
          <w:color w:val="000000"/>
          <w:sz w:val="20"/>
          <w:szCs w:val="20"/>
        </w:rPr>
        <w:t>years in rank as Lecturer.</w:t>
      </w:r>
    </w:p>
    <w:p w14:paraId="3ACCD7EA" w14:textId="36F80856" w:rsidR="00114ACC" w:rsidRPr="00114ACC" w:rsidRDefault="00C13AAE" w:rsidP="009D36BB">
      <w:pPr>
        <w:pStyle w:val="ListParagraph"/>
        <w:numPr>
          <w:ilvl w:val="2"/>
          <w:numId w:val="22"/>
        </w:numPr>
        <w:spacing w:after="0"/>
        <w:contextualSpacing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6E5CD2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>Evidence of extended professional development related to the teaching assignment, beyond school working groups.</w:t>
      </w: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 xml:space="preserve"> For example (but not limited to), participation in University workshops or study groups on teaching, completion of short courses related to pedagogy or course content, participation in professional conferences.</w:t>
      </w:r>
    </w:p>
    <w:p w14:paraId="5DF4865E" w14:textId="517F5844" w:rsidR="00114ACC" w:rsidRPr="00114ACC" w:rsidRDefault="00C13AAE" w:rsidP="009D36BB">
      <w:pPr>
        <w:pStyle w:val="ListParagraph"/>
        <w:numPr>
          <w:ilvl w:val="2"/>
          <w:numId w:val="22"/>
        </w:numPr>
        <w:spacing w:after="0"/>
        <w:contextualSpacing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6E5CD2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>Substantial contributions to</w:t>
      </w:r>
      <w:r w:rsidR="00405215" w:rsidRPr="006E5CD2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 xml:space="preserve"> mentoring related to</w:t>
      </w:r>
      <w:r w:rsidRPr="006E5CD2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 xml:space="preserve"> the SSFD Instructional Program.</w:t>
      </w:r>
      <w:r w:rsidR="00C04E27" w:rsidRPr="006E5CD2">
        <w:rPr>
          <w:rFonts w:asciiTheme="majorHAnsi" w:eastAsia="Times New Roman" w:hAnsiTheme="majorHAnsi"/>
          <w:b/>
          <w:color w:val="000000"/>
          <w:sz w:val="20"/>
          <w:szCs w:val="20"/>
        </w:rPr>
        <w:t xml:space="preserve"> </w:t>
      </w: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>For example, mentoring of undergraduate students, mentoring graduate TAs, peer mentoring, or advising student organizations.</w:t>
      </w:r>
    </w:p>
    <w:p w14:paraId="53D58BBB" w14:textId="77777777" w:rsidR="00236858" w:rsidRPr="00236858" w:rsidRDefault="00C13AAE" w:rsidP="009D36BB">
      <w:pPr>
        <w:pStyle w:val="ListParagraph"/>
        <w:numPr>
          <w:ilvl w:val="2"/>
          <w:numId w:val="22"/>
        </w:numPr>
        <w:spacing w:after="0"/>
        <w:contextualSpacing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6E5CD2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>Administration and service related to the instructional mission of SSFD.</w:t>
      </w:r>
      <w:r w:rsidRPr="00114ACC">
        <w:rPr>
          <w:rFonts w:asciiTheme="majorHAnsi" w:eastAsia="Times New Roman" w:hAnsiTheme="majorHAnsi"/>
          <w:color w:val="000000"/>
          <w:sz w:val="20"/>
          <w:szCs w:val="20"/>
        </w:rPr>
        <w:t xml:space="preserve">  For example, management of programs, promoting undergraduate research, diversity or outreach initiatives, active participation and/or leadership in school committees dealing with undergraduate instruction.     </w:t>
      </w:r>
    </w:p>
    <w:p w14:paraId="690859B3" w14:textId="77777777" w:rsidR="00236858" w:rsidRDefault="00236858" w:rsidP="009D36BB">
      <w:pPr>
        <w:spacing w:after="0"/>
        <w:contextualSpacing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14:paraId="59D074E6" w14:textId="59D1492E" w:rsidR="00C13AAE" w:rsidRPr="00114ACC" w:rsidRDefault="008322EC" w:rsidP="009D36BB">
      <w:pPr>
        <w:spacing w:after="0"/>
        <w:contextualSpacing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pict w14:anchorId="048A85D8">
          <v:rect id="_x0000_i1025" style="width:0;height:1.5pt" o:hralign="center" o:hrstd="t" o:hr="t" fillcolor="#a0a0a0" stroked="f"/>
        </w:pict>
      </w:r>
    </w:p>
    <w:p w14:paraId="2E82B544" w14:textId="77777777" w:rsidR="00236858" w:rsidRPr="00236858" w:rsidRDefault="00236858" w:rsidP="009D36BB">
      <w:pPr>
        <w:pStyle w:val="ListParagraph"/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</w:p>
    <w:p w14:paraId="2D2175C5" w14:textId="255B1506" w:rsidR="00F500CA" w:rsidRDefault="00236858" w:rsidP="009D36BB">
      <w:pPr>
        <w:pStyle w:val="ListParagraph"/>
        <w:numPr>
          <w:ilvl w:val="0"/>
          <w:numId w:val="25"/>
        </w:numPr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236858">
        <w:rPr>
          <w:rFonts w:asciiTheme="majorHAnsi" w:eastAsia="Times New Roman" w:hAnsiTheme="majorHAnsi"/>
          <w:b/>
          <w:bCs/>
          <w:iCs/>
          <w:color w:val="000000"/>
          <w:sz w:val="20"/>
          <w:szCs w:val="20"/>
        </w:rPr>
        <w:t>P</w:t>
      </w:r>
      <w:r w:rsidR="00C13AAE" w:rsidRPr="00236858">
        <w:rPr>
          <w:rFonts w:asciiTheme="majorHAnsi" w:eastAsia="Times New Roman" w:hAnsiTheme="majorHAnsi"/>
          <w:b/>
          <w:bCs/>
          <w:iCs/>
          <w:color w:val="000000"/>
          <w:sz w:val="20"/>
          <w:szCs w:val="20"/>
        </w:rPr>
        <w:t>romotion to Principal Lecturer</w:t>
      </w:r>
      <w:r w:rsidR="00C13AAE" w:rsidRPr="00236858">
        <w:rPr>
          <w:rFonts w:asciiTheme="majorHAnsi" w:eastAsia="Times New Roman" w:hAnsiTheme="majorHAnsi"/>
          <w:sz w:val="20"/>
          <w:szCs w:val="20"/>
        </w:rPr>
        <w:br/>
      </w:r>
      <w:r w:rsidR="00405215" w:rsidRPr="00236858">
        <w:rPr>
          <w:rFonts w:asciiTheme="majorHAnsi" w:eastAsia="Times New Roman" w:hAnsiTheme="majorHAnsi"/>
          <w:color w:val="000000"/>
          <w:sz w:val="20"/>
          <w:szCs w:val="20"/>
        </w:rPr>
        <w:t>Candidates for promotion to Principal Lecturer will have a</w:t>
      </w:r>
      <w:r w:rsidR="00CB3F05">
        <w:rPr>
          <w:rFonts w:asciiTheme="majorHAnsi" w:eastAsia="Times New Roman" w:hAnsiTheme="majorHAnsi"/>
          <w:color w:val="000000"/>
          <w:sz w:val="20"/>
          <w:szCs w:val="20"/>
        </w:rPr>
        <w:t xml:space="preserve">t least seven years of college-level teaching experience, with five years of college-level teaching experience as a Senior Lecturer (or similar ranked appointment elsewhere) with most of that experience at ASU. They should also have a record of continued and sustained excellence since the previous promotion. </w:t>
      </w:r>
      <w:r w:rsidR="00405215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In cases of extraordinary merit or under special circumstances, candidates </w:t>
      </w:r>
      <w:r w:rsidR="00F500CA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may warrant earlier consideration as determined in consultation with the Director of SSFD. </w:t>
      </w:r>
      <w:r w:rsidR="003C6F46">
        <w:rPr>
          <w:rFonts w:asciiTheme="majorHAnsi" w:hAnsiTheme="majorHAnsi"/>
          <w:sz w:val="20"/>
          <w:szCs w:val="20"/>
        </w:rPr>
        <w:t xml:space="preserve">Typically, candidates for promotion to </w:t>
      </w:r>
      <w:r w:rsidR="00AD3758">
        <w:rPr>
          <w:rFonts w:asciiTheme="majorHAnsi" w:hAnsiTheme="majorHAnsi"/>
          <w:sz w:val="20"/>
          <w:szCs w:val="20"/>
        </w:rPr>
        <w:t xml:space="preserve">Principal </w:t>
      </w:r>
      <w:r w:rsidR="003C6F46">
        <w:rPr>
          <w:rFonts w:asciiTheme="majorHAnsi" w:hAnsiTheme="majorHAnsi"/>
          <w:sz w:val="20"/>
          <w:szCs w:val="20"/>
        </w:rPr>
        <w:t xml:space="preserve">Lecturer in the Sanford School are expected to have </w:t>
      </w:r>
      <w:r w:rsidR="003C6F46" w:rsidRPr="00236858">
        <w:rPr>
          <w:rFonts w:asciiTheme="majorHAnsi" w:hAnsiTheme="majorHAnsi"/>
          <w:sz w:val="20"/>
          <w:szCs w:val="20"/>
        </w:rPr>
        <w:t xml:space="preserve">an earned doctorate in the discipline taught (or appropriate terminal degree in those disciplines that do not award a doctorate).  </w:t>
      </w:r>
      <w:r w:rsidR="001835D7">
        <w:rPr>
          <w:rFonts w:asciiTheme="majorHAnsi" w:eastAsia="Times New Roman" w:hAnsiTheme="majorHAnsi"/>
          <w:color w:val="000000"/>
          <w:sz w:val="20"/>
          <w:szCs w:val="20"/>
        </w:rPr>
        <w:t>Promotion to Principal Lecturer generally involves evidence of excellence and leadership that go beyond the merits achieved in promotion to Senior Lecturer.</w:t>
      </w:r>
      <w:bookmarkStart w:id="2" w:name="_GoBack"/>
      <w:bookmarkEnd w:id="2"/>
    </w:p>
    <w:p w14:paraId="640EDF04" w14:textId="77777777" w:rsidR="00236858" w:rsidRDefault="00236858" w:rsidP="009D36BB">
      <w:pPr>
        <w:pStyle w:val="ListParagraph"/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</w:p>
    <w:p w14:paraId="296CAD1B" w14:textId="2DFBAB83" w:rsidR="009D36BB" w:rsidRDefault="00236858" w:rsidP="009D36BB">
      <w:pPr>
        <w:pStyle w:val="ListParagraph"/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>In addition to the basic expectations for the rank of</w:t>
      </w:r>
      <w:r w:rsidR="00AD3758">
        <w:rPr>
          <w:rFonts w:asciiTheme="majorHAnsi" w:eastAsia="Times New Roman" w:hAnsiTheme="majorHAnsi"/>
          <w:color w:val="000000"/>
          <w:sz w:val="20"/>
          <w:szCs w:val="20"/>
        </w:rPr>
        <w:t xml:space="preserve"> Senior</w:t>
      </w: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 Lecturer, candidates for Principal Lecturer will demonstrate excellence as required in Sections </w:t>
      </w:r>
      <w:r w:rsidR="009D36BB">
        <w:rPr>
          <w:rFonts w:asciiTheme="majorHAnsi" w:eastAsia="Times New Roman" w:hAnsiTheme="majorHAnsi"/>
          <w:color w:val="000000"/>
          <w:sz w:val="20"/>
          <w:szCs w:val="20"/>
        </w:rPr>
        <w:t>II.A</w:t>
      </w: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 and </w:t>
      </w:r>
      <w:r w:rsidR="009D36BB">
        <w:rPr>
          <w:rFonts w:asciiTheme="majorHAnsi" w:eastAsia="Times New Roman" w:hAnsiTheme="majorHAnsi"/>
          <w:color w:val="000000"/>
          <w:sz w:val="20"/>
          <w:szCs w:val="20"/>
        </w:rPr>
        <w:t>II.B</w:t>
      </w:r>
      <w:r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 below.</w:t>
      </w:r>
    </w:p>
    <w:p w14:paraId="0E82D572" w14:textId="77777777" w:rsidR="00D055D6" w:rsidRDefault="00D055D6" w:rsidP="009D36BB">
      <w:pPr>
        <w:pStyle w:val="ListParagraph"/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</w:p>
    <w:p w14:paraId="6E0A6A74" w14:textId="4939ACAA" w:rsidR="00236858" w:rsidRPr="009D36BB" w:rsidRDefault="00236858" w:rsidP="009D36BB">
      <w:pPr>
        <w:pStyle w:val="ListParagraph"/>
        <w:numPr>
          <w:ilvl w:val="1"/>
          <w:numId w:val="25"/>
        </w:numPr>
        <w:spacing w:after="0"/>
        <w:contextualSpacing/>
        <w:rPr>
          <w:rFonts w:asciiTheme="majorHAnsi" w:eastAsia="Times New Roman" w:hAnsiTheme="majorHAnsi"/>
          <w:b/>
          <w:bCs/>
          <w:color w:val="000000"/>
          <w:sz w:val="20"/>
          <w:szCs w:val="20"/>
        </w:rPr>
      </w:pPr>
      <w:r w:rsidRPr="009D36BB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>Excellence in teaching</w:t>
      </w:r>
      <w:r w:rsidRPr="009D36BB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</w:t>
      </w:r>
    </w:p>
    <w:p w14:paraId="07F00613" w14:textId="21DB46E4" w:rsidR="00236858" w:rsidRDefault="006E5CD2" w:rsidP="009D36BB">
      <w:pPr>
        <w:pStyle w:val="ListParagraph"/>
        <w:spacing w:after="0"/>
        <w:ind w:left="144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>
        <w:rPr>
          <w:rFonts w:asciiTheme="majorHAnsi" w:eastAsia="Times New Roman" w:hAnsiTheme="majorHAnsi"/>
          <w:bCs/>
          <w:color w:val="000000"/>
          <w:sz w:val="20"/>
          <w:szCs w:val="20"/>
        </w:rPr>
        <w:lastRenderedPageBreak/>
        <w:t>Candidates for promotion to</w:t>
      </w:r>
      <w:r w:rsidR="00236858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="00236858" w:rsidRPr="00236858">
        <w:rPr>
          <w:rFonts w:asciiTheme="majorHAnsi" w:eastAsia="Times New Roman" w:hAnsiTheme="majorHAnsi"/>
          <w:bCs/>
          <w:color w:val="000000"/>
          <w:sz w:val="20"/>
          <w:szCs w:val="20"/>
        </w:rPr>
        <w:t>Principal</w:t>
      </w:r>
      <w:r w:rsidR="00236858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="00236858" w:rsidRPr="00236858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Lecturer </w:t>
      </w:r>
      <w:r w:rsidR="00236858" w:rsidRPr="00236858">
        <w:rPr>
          <w:rFonts w:asciiTheme="majorHAnsi" w:eastAsia="Times New Roman" w:hAnsiTheme="majorHAnsi"/>
          <w:color w:val="000000"/>
          <w:sz w:val="20"/>
          <w:szCs w:val="20"/>
        </w:rPr>
        <w:t>must demonstrate sustained excellence in teaching as described in Section I.</w:t>
      </w:r>
      <w:r>
        <w:rPr>
          <w:rFonts w:asciiTheme="majorHAnsi" w:eastAsia="Times New Roman" w:hAnsiTheme="majorHAnsi"/>
          <w:color w:val="000000"/>
          <w:sz w:val="20"/>
          <w:szCs w:val="20"/>
        </w:rPr>
        <w:t>A</w:t>
      </w:r>
      <w:r w:rsidR="00236858" w:rsidRPr="00236858">
        <w:rPr>
          <w:rFonts w:asciiTheme="majorHAnsi" w:eastAsia="Times New Roman" w:hAnsiTheme="majorHAnsi"/>
          <w:color w:val="000000"/>
          <w:sz w:val="20"/>
          <w:szCs w:val="20"/>
        </w:rPr>
        <w:t xml:space="preserve"> above since appointment/promotion to Senior Lecturer.  </w:t>
      </w:r>
    </w:p>
    <w:p w14:paraId="1AB54842" w14:textId="77777777" w:rsidR="009D36BB" w:rsidRDefault="009D36BB" w:rsidP="009D36BB">
      <w:pPr>
        <w:spacing w:after="0"/>
        <w:contextualSpacing/>
        <w:rPr>
          <w:rFonts w:asciiTheme="majorHAnsi" w:eastAsia="Times New Roman" w:hAnsiTheme="majorHAnsi"/>
          <w:b/>
          <w:bCs/>
          <w:color w:val="000000"/>
          <w:sz w:val="20"/>
          <w:szCs w:val="20"/>
        </w:rPr>
      </w:pPr>
    </w:p>
    <w:p w14:paraId="705196F9" w14:textId="77777777" w:rsidR="009D36BB" w:rsidRDefault="00C13AAE" w:rsidP="009D36BB">
      <w:pPr>
        <w:pStyle w:val="ListParagraph"/>
        <w:numPr>
          <w:ilvl w:val="1"/>
          <w:numId w:val="25"/>
        </w:numPr>
        <w:spacing w:after="0"/>
        <w:contextualSpacing/>
        <w:rPr>
          <w:rFonts w:asciiTheme="majorHAnsi" w:eastAsia="Times New Roman" w:hAnsiTheme="majorHAnsi"/>
          <w:b/>
          <w:bCs/>
          <w:color w:val="000000"/>
          <w:sz w:val="20"/>
          <w:szCs w:val="20"/>
        </w:rPr>
      </w:pPr>
      <w:r w:rsidRPr="009D36BB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>Additional teaching-related achievements</w:t>
      </w:r>
    </w:p>
    <w:p w14:paraId="75F98E16" w14:textId="1B39401B" w:rsidR="009D36BB" w:rsidRPr="009D36BB" w:rsidRDefault="002422AA" w:rsidP="009D36BB">
      <w:pPr>
        <w:pStyle w:val="ListParagraph"/>
        <w:spacing w:after="0"/>
        <w:ind w:left="1440"/>
        <w:contextualSpacing/>
        <w:rPr>
          <w:rFonts w:asciiTheme="majorHAnsi" w:eastAsia="Times New Roman" w:hAnsiTheme="majorHAnsi"/>
          <w:b/>
          <w:bCs/>
          <w:color w:val="000000"/>
          <w:sz w:val="20"/>
          <w:szCs w:val="20"/>
        </w:rPr>
      </w:pPr>
      <w:r w:rsidRPr="009D36BB">
        <w:rPr>
          <w:rFonts w:asciiTheme="majorHAnsi" w:eastAsia="Times New Roman" w:hAnsiTheme="majorHAnsi"/>
          <w:color w:val="000000"/>
          <w:sz w:val="20"/>
          <w:szCs w:val="20"/>
        </w:rPr>
        <w:t xml:space="preserve">Candidates for promotion to the rank of </w:t>
      </w:r>
      <w:r w:rsidR="00114ACC" w:rsidRPr="009D36BB">
        <w:rPr>
          <w:rFonts w:asciiTheme="majorHAnsi" w:eastAsia="Times New Roman" w:hAnsiTheme="majorHAnsi"/>
          <w:color w:val="000000"/>
          <w:sz w:val="20"/>
          <w:szCs w:val="20"/>
        </w:rPr>
        <w:t xml:space="preserve">Principal Lecturer </w:t>
      </w:r>
      <w:r w:rsidRPr="009D36BB">
        <w:rPr>
          <w:rFonts w:asciiTheme="majorHAnsi" w:eastAsia="Times New Roman" w:hAnsiTheme="majorHAnsi"/>
          <w:color w:val="000000"/>
          <w:sz w:val="20"/>
          <w:szCs w:val="20"/>
        </w:rPr>
        <w:t xml:space="preserve">should demonstrate engagement with SSFD and advanced knowledge of the teaching discipline, as represented by at least </w:t>
      </w:r>
      <w:r w:rsidR="009D36BB">
        <w:rPr>
          <w:rFonts w:asciiTheme="majorHAnsi" w:eastAsia="Times New Roman" w:hAnsiTheme="majorHAnsi"/>
          <w:color w:val="000000"/>
          <w:sz w:val="20"/>
          <w:szCs w:val="20"/>
        </w:rPr>
        <w:t>t</w:t>
      </w:r>
      <w:r w:rsidR="002812C2">
        <w:rPr>
          <w:rFonts w:asciiTheme="majorHAnsi" w:eastAsia="Times New Roman" w:hAnsiTheme="majorHAnsi"/>
          <w:color w:val="000000"/>
          <w:sz w:val="20"/>
          <w:szCs w:val="20"/>
        </w:rPr>
        <w:t xml:space="preserve">wo </w:t>
      </w:r>
      <w:r w:rsidR="00847749">
        <w:rPr>
          <w:rFonts w:asciiTheme="majorHAnsi" w:eastAsia="Times New Roman" w:hAnsiTheme="majorHAnsi"/>
          <w:color w:val="000000"/>
          <w:sz w:val="20"/>
          <w:szCs w:val="20"/>
        </w:rPr>
        <w:t xml:space="preserve">of </w:t>
      </w:r>
      <w:r w:rsidRPr="009D36BB">
        <w:rPr>
          <w:rFonts w:asciiTheme="majorHAnsi" w:eastAsia="Times New Roman" w:hAnsiTheme="majorHAnsi"/>
          <w:color w:val="000000"/>
          <w:sz w:val="20"/>
          <w:szCs w:val="20"/>
        </w:rPr>
        <w:t xml:space="preserve">the following criteria. Evidence of these achievements must be documented fully and carefully. The strongest cases will show a pattern of these activities throughout the </w:t>
      </w:r>
      <w:r w:rsidR="00114ACC" w:rsidRPr="009D36BB">
        <w:rPr>
          <w:rFonts w:asciiTheme="majorHAnsi" w:eastAsia="Times New Roman" w:hAnsiTheme="majorHAnsi"/>
          <w:color w:val="000000"/>
          <w:sz w:val="20"/>
          <w:szCs w:val="20"/>
        </w:rPr>
        <w:t>years in rank as Senior Lecturer.</w:t>
      </w:r>
    </w:p>
    <w:p w14:paraId="30B1A417" w14:textId="77777777" w:rsidR="009D36BB" w:rsidRPr="009D36BB" w:rsidRDefault="002422AA" w:rsidP="009D36BB">
      <w:pPr>
        <w:pStyle w:val="ListParagraph"/>
        <w:numPr>
          <w:ilvl w:val="2"/>
          <w:numId w:val="25"/>
        </w:numPr>
        <w:spacing w:after="0"/>
        <w:contextualSpacing/>
        <w:rPr>
          <w:rFonts w:asciiTheme="majorHAnsi" w:eastAsia="Times New Roman" w:hAnsiTheme="majorHAnsi"/>
          <w:b/>
          <w:bCs/>
          <w:color w:val="000000"/>
          <w:sz w:val="20"/>
          <w:szCs w:val="20"/>
        </w:rPr>
      </w:pPr>
      <w:r w:rsidRPr="006E5CD2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>Evidence of extended professional development related to the teaching assignment, beyond school working groups.</w:t>
      </w:r>
      <w:r w:rsidRPr="006E5CD2">
        <w:rPr>
          <w:rFonts w:asciiTheme="majorHAnsi" w:eastAsia="Times New Roman" w:hAnsiTheme="majorHAnsi"/>
          <w:b/>
          <w:color w:val="000000"/>
          <w:sz w:val="20"/>
          <w:szCs w:val="20"/>
        </w:rPr>
        <w:t xml:space="preserve"> </w:t>
      </w:r>
      <w:r w:rsidRPr="009D36BB">
        <w:rPr>
          <w:rFonts w:asciiTheme="majorHAnsi" w:eastAsia="Times New Roman" w:hAnsiTheme="majorHAnsi"/>
          <w:color w:val="000000"/>
          <w:sz w:val="20"/>
          <w:szCs w:val="20"/>
        </w:rPr>
        <w:t>For example (but not limited to), participation in University workshops or study groups on teaching, completion of short courses related to pedagogy or course content, participation in professional conferences.</w:t>
      </w:r>
    </w:p>
    <w:p w14:paraId="563F20BB" w14:textId="77777777" w:rsidR="009D36BB" w:rsidRPr="009D36BB" w:rsidRDefault="002422AA" w:rsidP="009D36BB">
      <w:pPr>
        <w:pStyle w:val="ListParagraph"/>
        <w:numPr>
          <w:ilvl w:val="2"/>
          <w:numId w:val="25"/>
        </w:numPr>
        <w:spacing w:after="0"/>
        <w:contextualSpacing/>
        <w:rPr>
          <w:rFonts w:asciiTheme="majorHAnsi" w:eastAsia="Times New Roman" w:hAnsiTheme="majorHAnsi"/>
          <w:b/>
          <w:bCs/>
          <w:color w:val="000000"/>
          <w:sz w:val="20"/>
          <w:szCs w:val="20"/>
        </w:rPr>
      </w:pPr>
      <w:r w:rsidRPr="006E5CD2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>Substantial contributions to the SSFD Instructional Program in such forms as mentoring students.</w:t>
      </w:r>
      <w:r w:rsidRPr="006E5CD2">
        <w:rPr>
          <w:rFonts w:asciiTheme="majorHAnsi" w:eastAsia="Times New Roman" w:hAnsiTheme="majorHAnsi"/>
          <w:b/>
          <w:color w:val="000000"/>
          <w:sz w:val="20"/>
          <w:szCs w:val="20"/>
        </w:rPr>
        <w:t xml:space="preserve"> </w:t>
      </w:r>
      <w:r w:rsidRPr="009D36BB">
        <w:rPr>
          <w:rFonts w:asciiTheme="majorHAnsi" w:eastAsia="Times New Roman" w:hAnsiTheme="majorHAnsi"/>
          <w:color w:val="000000"/>
          <w:sz w:val="20"/>
          <w:szCs w:val="20"/>
        </w:rPr>
        <w:t>For example, mentoring of undergraduate students, mentoring graduate TAs, peer mentoring, or advising student organizations.</w:t>
      </w:r>
    </w:p>
    <w:p w14:paraId="2AF2F04A" w14:textId="4ED78C83" w:rsidR="002422AA" w:rsidRPr="009D36BB" w:rsidRDefault="002422AA" w:rsidP="009D36BB">
      <w:pPr>
        <w:pStyle w:val="ListParagraph"/>
        <w:numPr>
          <w:ilvl w:val="2"/>
          <w:numId w:val="25"/>
        </w:numPr>
        <w:spacing w:after="0"/>
        <w:contextualSpacing/>
        <w:rPr>
          <w:rFonts w:asciiTheme="majorHAnsi" w:eastAsia="Times New Roman" w:hAnsiTheme="majorHAnsi"/>
          <w:b/>
          <w:bCs/>
          <w:color w:val="000000"/>
          <w:sz w:val="20"/>
          <w:szCs w:val="20"/>
        </w:rPr>
      </w:pPr>
      <w:r w:rsidRPr="006E5CD2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>Administration and service related to the instructional mission of SSFD.</w:t>
      </w:r>
      <w:r w:rsidRPr="006E5CD2">
        <w:rPr>
          <w:rFonts w:asciiTheme="majorHAnsi" w:eastAsia="Times New Roman" w:hAnsiTheme="majorHAnsi"/>
          <w:b/>
          <w:color w:val="000000"/>
          <w:sz w:val="20"/>
          <w:szCs w:val="20"/>
        </w:rPr>
        <w:t xml:space="preserve">  </w:t>
      </w:r>
      <w:r w:rsidRPr="009D36BB">
        <w:rPr>
          <w:rFonts w:asciiTheme="majorHAnsi" w:eastAsia="Times New Roman" w:hAnsiTheme="majorHAnsi"/>
          <w:color w:val="000000"/>
          <w:sz w:val="20"/>
          <w:szCs w:val="20"/>
        </w:rPr>
        <w:t xml:space="preserve">For example, management of programs, promoting undergraduate research, diversity or outreach initiatives, active participation and/or leadership in school committees dealing with undergraduate instruction.     </w:t>
      </w:r>
    </w:p>
    <w:p w14:paraId="20DCD3C0" w14:textId="77777777" w:rsidR="00C13AAE" w:rsidRPr="00114ACC" w:rsidRDefault="00C13AAE" w:rsidP="009D36BB">
      <w:pPr>
        <w:spacing w:after="0"/>
        <w:contextualSpacing/>
        <w:rPr>
          <w:rFonts w:asciiTheme="majorHAnsi" w:eastAsia="Times New Roman" w:hAnsiTheme="majorHAnsi"/>
          <w:sz w:val="20"/>
          <w:szCs w:val="20"/>
        </w:rPr>
      </w:pPr>
    </w:p>
    <w:p w14:paraId="52B41DAD" w14:textId="77777777" w:rsidR="00C13AAE" w:rsidRPr="00114ACC" w:rsidRDefault="008322EC" w:rsidP="009D36BB">
      <w:pPr>
        <w:spacing w:after="0"/>
        <w:contextualSpacing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pict w14:anchorId="513D5981">
          <v:rect id="_x0000_i1026" style="width:0;height:1.5pt" o:hralign="center" o:hrstd="t" o:hr="t" fillcolor="#a0a0a0" stroked="f"/>
        </w:pict>
      </w:r>
    </w:p>
    <w:p w14:paraId="62E36723" w14:textId="77777777" w:rsidR="00C13AAE" w:rsidRPr="00114ACC" w:rsidRDefault="00C13AAE" w:rsidP="009D36BB">
      <w:pPr>
        <w:spacing w:after="0"/>
        <w:contextualSpacing/>
        <w:rPr>
          <w:rFonts w:asciiTheme="majorHAnsi" w:eastAsia="Times New Roman" w:hAnsiTheme="majorHAnsi"/>
          <w:color w:val="000000"/>
          <w:sz w:val="20"/>
          <w:szCs w:val="20"/>
        </w:rPr>
      </w:pPr>
      <w:r w:rsidRPr="00114ACC">
        <w:rPr>
          <w:rFonts w:asciiTheme="majorHAnsi" w:eastAsia="Times New Roman" w:hAnsiTheme="majorHAnsi"/>
          <w:sz w:val="20"/>
          <w:szCs w:val="20"/>
        </w:rPr>
        <w:br/>
      </w:r>
    </w:p>
    <w:p w14:paraId="48F89C21" w14:textId="77777777" w:rsidR="00FB3788" w:rsidRPr="00114ACC" w:rsidRDefault="00FB3788" w:rsidP="009D36BB">
      <w:pPr>
        <w:spacing w:after="0"/>
        <w:rPr>
          <w:rFonts w:asciiTheme="majorHAnsi" w:hAnsiTheme="majorHAnsi"/>
          <w:sz w:val="20"/>
          <w:szCs w:val="20"/>
        </w:rPr>
      </w:pPr>
    </w:p>
    <w:sectPr w:rsidR="00FB3788" w:rsidRPr="00114ACC" w:rsidSect="001E7720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1A21C" w14:textId="77777777" w:rsidR="008322EC" w:rsidRDefault="008322EC" w:rsidP="00C13AAE">
      <w:pPr>
        <w:spacing w:after="0" w:line="240" w:lineRule="auto"/>
      </w:pPr>
      <w:r>
        <w:separator/>
      </w:r>
    </w:p>
  </w:endnote>
  <w:endnote w:type="continuationSeparator" w:id="0">
    <w:p w14:paraId="4AC67FD3" w14:textId="77777777" w:rsidR="008322EC" w:rsidRDefault="008322EC" w:rsidP="00C1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C752" w14:textId="2A09AAE9" w:rsidR="009F653B" w:rsidRDefault="009F65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2B9">
      <w:rPr>
        <w:noProof/>
      </w:rPr>
      <w:t>4</w:t>
    </w:r>
    <w:r>
      <w:fldChar w:fldCharType="end"/>
    </w:r>
  </w:p>
  <w:p w14:paraId="78B9706C" w14:textId="77777777" w:rsidR="009F653B" w:rsidRDefault="009F6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6BB6A" w14:textId="77777777" w:rsidR="008322EC" w:rsidRDefault="008322EC" w:rsidP="00C13AAE">
      <w:pPr>
        <w:spacing w:after="0" w:line="240" w:lineRule="auto"/>
      </w:pPr>
      <w:r>
        <w:separator/>
      </w:r>
    </w:p>
  </w:footnote>
  <w:footnote w:type="continuationSeparator" w:id="0">
    <w:p w14:paraId="2FFA304D" w14:textId="77777777" w:rsidR="008322EC" w:rsidRDefault="008322EC" w:rsidP="00C1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9713" w14:textId="5BA7BCBD" w:rsidR="001E7720" w:rsidRDefault="001E7720" w:rsidP="001E7720">
    <w:pPr>
      <w:pStyle w:val="Header"/>
    </w:pPr>
    <w:r>
      <w:t xml:space="preserve">SSFD Evaluation and Promotion Criteria for Fixed Term Lecturers (09-07-2018)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F72B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745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D56"/>
    <w:multiLevelType w:val="multilevel"/>
    <w:tmpl w:val="76A6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83E37"/>
    <w:multiLevelType w:val="multilevel"/>
    <w:tmpl w:val="1CA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D1B10"/>
    <w:multiLevelType w:val="hybridMultilevel"/>
    <w:tmpl w:val="DF86AA76"/>
    <w:lvl w:ilvl="0" w:tplc="AE4078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1A6F"/>
    <w:multiLevelType w:val="multilevel"/>
    <w:tmpl w:val="79B6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3C3251"/>
    <w:multiLevelType w:val="hybridMultilevel"/>
    <w:tmpl w:val="1058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B2BB5"/>
    <w:multiLevelType w:val="multilevel"/>
    <w:tmpl w:val="EA6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42D7F"/>
    <w:multiLevelType w:val="multilevel"/>
    <w:tmpl w:val="1A0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A3001"/>
    <w:multiLevelType w:val="hybridMultilevel"/>
    <w:tmpl w:val="86C0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165E9"/>
    <w:multiLevelType w:val="multilevel"/>
    <w:tmpl w:val="C2BA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24A86"/>
    <w:multiLevelType w:val="multilevel"/>
    <w:tmpl w:val="9696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A6DC4"/>
    <w:multiLevelType w:val="multilevel"/>
    <w:tmpl w:val="953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252735"/>
    <w:multiLevelType w:val="hybridMultilevel"/>
    <w:tmpl w:val="CA1663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2569"/>
    <w:multiLevelType w:val="hybridMultilevel"/>
    <w:tmpl w:val="8AC414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A7EC99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6944E4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E0CD2"/>
    <w:multiLevelType w:val="multilevel"/>
    <w:tmpl w:val="2D1C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257D7"/>
    <w:multiLevelType w:val="multilevel"/>
    <w:tmpl w:val="44A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15BC3"/>
    <w:multiLevelType w:val="multilevel"/>
    <w:tmpl w:val="E3C0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959C3"/>
    <w:multiLevelType w:val="multilevel"/>
    <w:tmpl w:val="87E8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A374F"/>
    <w:multiLevelType w:val="hybridMultilevel"/>
    <w:tmpl w:val="343431B4"/>
    <w:lvl w:ilvl="0" w:tplc="AE4078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3211E"/>
    <w:multiLevelType w:val="multilevel"/>
    <w:tmpl w:val="8B0E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679A1"/>
    <w:multiLevelType w:val="multilevel"/>
    <w:tmpl w:val="CED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276FB"/>
    <w:multiLevelType w:val="hybridMultilevel"/>
    <w:tmpl w:val="264EC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11410"/>
    <w:multiLevelType w:val="multilevel"/>
    <w:tmpl w:val="A3B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88213D"/>
    <w:multiLevelType w:val="hybridMultilevel"/>
    <w:tmpl w:val="AFF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8142E"/>
    <w:multiLevelType w:val="hybridMultilevel"/>
    <w:tmpl w:val="990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14B2B"/>
    <w:multiLevelType w:val="multilevel"/>
    <w:tmpl w:val="0D6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E675AD"/>
    <w:multiLevelType w:val="hybridMultilevel"/>
    <w:tmpl w:val="93FED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9"/>
  </w:num>
  <w:num w:numId="5">
    <w:abstractNumId w:val="7"/>
  </w:num>
  <w:num w:numId="6">
    <w:abstractNumId w:val="15"/>
  </w:num>
  <w:num w:numId="7">
    <w:abstractNumId w:val="22"/>
  </w:num>
  <w:num w:numId="8">
    <w:abstractNumId w:val="9"/>
  </w:num>
  <w:num w:numId="9">
    <w:abstractNumId w:val="16"/>
  </w:num>
  <w:num w:numId="10">
    <w:abstractNumId w:val="20"/>
  </w:num>
  <w:num w:numId="11">
    <w:abstractNumId w:val="1"/>
  </w:num>
  <w:num w:numId="12">
    <w:abstractNumId w:val="17"/>
  </w:num>
  <w:num w:numId="13">
    <w:abstractNumId w:val="14"/>
  </w:num>
  <w:num w:numId="14">
    <w:abstractNumId w:val="4"/>
  </w:num>
  <w:num w:numId="15">
    <w:abstractNumId w:val="2"/>
  </w:num>
  <w:num w:numId="16">
    <w:abstractNumId w:val="25"/>
  </w:num>
  <w:num w:numId="17">
    <w:abstractNumId w:val="26"/>
  </w:num>
  <w:num w:numId="18">
    <w:abstractNumId w:val="8"/>
  </w:num>
  <w:num w:numId="19">
    <w:abstractNumId w:val="23"/>
  </w:num>
  <w:num w:numId="20">
    <w:abstractNumId w:val="0"/>
  </w:num>
  <w:num w:numId="21">
    <w:abstractNumId w:val="5"/>
  </w:num>
  <w:num w:numId="22">
    <w:abstractNumId w:val="13"/>
  </w:num>
  <w:num w:numId="23">
    <w:abstractNumId w:val="12"/>
  </w:num>
  <w:num w:numId="24">
    <w:abstractNumId w:val="21"/>
  </w:num>
  <w:num w:numId="25">
    <w:abstractNumId w:val="18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9"/>
    <w:rsid w:val="00007C6C"/>
    <w:rsid w:val="00051FD1"/>
    <w:rsid w:val="00077287"/>
    <w:rsid w:val="00086F0E"/>
    <w:rsid w:val="00096909"/>
    <w:rsid w:val="000E6CAC"/>
    <w:rsid w:val="000E6DA7"/>
    <w:rsid w:val="001015B1"/>
    <w:rsid w:val="00114ACC"/>
    <w:rsid w:val="00135F8E"/>
    <w:rsid w:val="001574C9"/>
    <w:rsid w:val="001835D7"/>
    <w:rsid w:val="001A6534"/>
    <w:rsid w:val="001E7720"/>
    <w:rsid w:val="002207E5"/>
    <w:rsid w:val="002354C7"/>
    <w:rsid w:val="00236858"/>
    <w:rsid w:val="002422AA"/>
    <w:rsid w:val="00243181"/>
    <w:rsid w:val="00251743"/>
    <w:rsid w:val="0026786A"/>
    <w:rsid w:val="002812C2"/>
    <w:rsid w:val="00295759"/>
    <w:rsid w:val="002D4903"/>
    <w:rsid w:val="002D6E70"/>
    <w:rsid w:val="002E296F"/>
    <w:rsid w:val="003724DD"/>
    <w:rsid w:val="003C6F46"/>
    <w:rsid w:val="00405215"/>
    <w:rsid w:val="00454C43"/>
    <w:rsid w:val="00480667"/>
    <w:rsid w:val="004A467B"/>
    <w:rsid w:val="004F194C"/>
    <w:rsid w:val="00510DD7"/>
    <w:rsid w:val="00566EE7"/>
    <w:rsid w:val="00624CB8"/>
    <w:rsid w:val="006B46FD"/>
    <w:rsid w:val="006E1E20"/>
    <w:rsid w:val="006E5CD2"/>
    <w:rsid w:val="006F4958"/>
    <w:rsid w:val="007003C3"/>
    <w:rsid w:val="00700FC9"/>
    <w:rsid w:val="00775A12"/>
    <w:rsid w:val="00775E26"/>
    <w:rsid w:val="00783850"/>
    <w:rsid w:val="007839AD"/>
    <w:rsid w:val="007C49BE"/>
    <w:rsid w:val="007F72B9"/>
    <w:rsid w:val="008322EC"/>
    <w:rsid w:val="00847749"/>
    <w:rsid w:val="008648B1"/>
    <w:rsid w:val="008953C4"/>
    <w:rsid w:val="008A51C8"/>
    <w:rsid w:val="009028E6"/>
    <w:rsid w:val="009043B8"/>
    <w:rsid w:val="00955DA0"/>
    <w:rsid w:val="009A18AA"/>
    <w:rsid w:val="009D36BB"/>
    <w:rsid w:val="009F653B"/>
    <w:rsid w:val="00A05F34"/>
    <w:rsid w:val="00A2038A"/>
    <w:rsid w:val="00A22E69"/>
    <w:rsid w:val="00A40887"/>
    <w:rsid w:val="00A73B74"/>
    <w:rsid w:val="00AD3758"/>
    <w:rsid w:val="00AE3DA5"/>
    <w:rsid w:val="00AF4C3E"/>
    <w:rsid w:val="00BA397E"/>
    <w:rsid w:val="00BC6C7D"/>
    <w:rsid w:val="00BD670A"/>
    <w:rsid w:val="00BE0A2F"/>
    <w:rsid w:val="00C03873"/>
    <w:rsid w:val="00C04E27"/>
    <w:rsid w:val="00C13AAE"/>
    <w:rsid w:val="00C6031F"/>
    <w:rsid w:val="00C6582A"/>
    <w:rsid w:val="00C9077A"/>
    <w:rsid w:val="00C90E72"/>
    <w:rsid w:val="00CB2C08"/>
    <w:rsid w:val="00CB3F05"/>
    <w:rsid w:val="00CC7981"/>
    <w:rsid w:val="00CE266D"/>
    <w:rsid w:val="00D055D6"/>
    <w:rsid w:val="00D26908"/>
    <w:rsid w:val="00D37671"/>
    <w:rsid w:val="00D6031E"/>
    <w:rsid w:val="00D760F8"/>
    <w:rsid w:val="00D920CF"/>
    <w:rsid w:val="00DB6C48"/>
    <w:rsid w:val="00E02271"/>
    <w:rsid w:val="00E05742"/>
    <w:rsid w:val="00E415E5"/>
    <w:rsid w:val="00E66531"/>
    <w:rsid w:val="00E90D3C"/>
    <w:rsid w:val="00E912F8"/>
    <w:rsid w:val="00EF60DF"/>
    <w:rsid w:val="00F40AB2"/>
    <w:rsid w:val="00F4630D"/>
    <w:rsid w:val="00F500CA"/>
    <w:rsid w:val="00F60CFF"/>
    <w:rsid w:val="00F74267"/>
    <w:rsid w:val="00F969C0"/>
    <w:rsid w:val="00F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E4BA7"/>
  <w14:defaultImageDpi w14:val="300"/>
  <w15:docId w15:val="{C16CBCA8-5530-4E59-BEB3-7C1B304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3A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3A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3A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043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78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7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8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86A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vost.asu.edu/policies/procedures/p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0145-E552-42EF-85B6-480A6E99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Katherine Sackman</cp:lastModifiedBy>
  <cp:revision>2</cp:revision>
  <cp:lastPrinted>2015-04-13T17:01:00Z</cp:lastPrinted>
  <dcterms:created xsi:type="dcterms:W3CDTF">2018-09-10T23:28:00Z</dcterms:created>
  <dcterms:modified xsi:type="dcterms:W3CDTF">2018-09-10T23:28:00Z</dcterms:modified>
</cp:coreProperties>
</file>