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313" w:rsidRDefault="00EB0BCC">
      <w:pPr>
        <w:ind w:left="3400"/>
        <w:rPr>
          <w:sz w:val="20"/>
        </w:rPr>
      </w:pPr>
      <w:r>
        <w:rPr>
          <w:noProof/>
          <w:sz w:val="20"/>
        </w:rPr>
        <w:drawing>
          <wp:inline distT="0" distB="0" distL="0" distR="0">
            <wp:extent cx="1906506" cy="5547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06506" cy="554735"/>
                    </a:xfrm>
                    <a:prstGeom prst="rect">
                      <a:avLst/>
                    </a:prstGeom>
                  </pic:spPr>
                </pic:pic>
              </a:graphicData>
            </a:graphic>
          </wp:inline>
        </w:drawing>
      </w:r>
    </w:p>
    <w:p w:rsidR="00C90313" w:rsidRDefault="00C90313">
      <w:pPr>
        <w:rPr>
          <w:sz w:val="20"/>
        </w:rPr>
      </w:pPr>
    </w:p>
    <w:p w:rsidR="00C90313" w:rsidRDefault="00C90313">
      <w:pPr>
        <w:rPr>
          <w:sz w:val="20"/>
        </w:rPr>
      </w:pPr>
    </w:p>
    <w:p w:rsidR="00C90313" w:rsidRDefault="00C90313">
      <w:pPr>
        <w:rPr>
          <w:sz w:val="20"/>
        </w:rPr>
      </w:pPr>
    </w:p>
    <w:p w:rsidR="00C90313" w:rsidRDefault="00C90313">
      <w:pPr>
        <w:rPr>
          <w:sz w:val="20"/>
        </w:rPr>
      </w:pPr>
    </w:p>
    <w:p w:rsidR="00C90313" w:rsidRDefault="00C90313">
      <w:pPr>
        <w:spacing w:before="8"/>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2585"/>
        <w:gridCol w:w="5172"/>
      </w:tblGrid>
      <w:tr w:rsidR="00C90313">
        <w:trPr>
          <w:trHeight w:val="585"/>
        </w:trPr>
        <w:tc>
          <w:tcPr>
            <w:tcW w:w="1819" w:type="dxa"/>
          </w:tcPr>
          <w:p w:rsidR="00C90313" w:rsidRDefault="00EB0BCC">
            <w:pPr>
              <w:pStyle w:val="TableParagraph"/>
              <w:spacing w:line="292" w:lineRule="exact"/>
              <w:ind w:left="107"/>
              <w:rPr>
                <w:rFonts w:ascii="Calibri"/>
                <w:b/>
                <w:sz w:val="24"/>
              </w:rPr>
            </w:pPr>
            <w:bookmarkStart w:id="0" w:name="Cover_Page"/>
            <w:bookmarkEnd w:id="0"/>
            <w:r>
              <w:rPr>
                <w:rFonts w:ascii="Calibri"/>
                <w:b/>
                <w:color w:val="000004"/>
                <w:sz w:val="24"/>
              </w:rPr>
              <w:t>College</w:t>
            </w:r>
          </w:p>
        </w:tc>
        <w:tc>
          <w:tcPr>
            <w:tcW w:w="7757" w:type="dxa"/>
            <w:gridSpan w:val="2"/>
          </w:tcPr>
          <w:p w:rsidR="00C90313" w:rsidRDefault="00EB0BCC">
            <w:pPr>
              <w:pStyle w:val="TableParagraph"/>
              <w:spacing w:line="292" w:lineRule="exact"/>
              <w:ind w:left="105"/>
              <w:rPr>
                <w:rFonts w:ascii="Calibri"/>
                <w:b/>
                <w:sz w:val="24"/>
              </w:rPr>
            </w:pPr>
            <w:r>
              <w:rPr>
                <w:rFonts w:ascii="Calibri"/>
                <w:b/>
                <w:color w:val="000004"/>
                <w:sz w:val="24"/>
              </w:rPr>
              <w:t>Watts College of Public Service and Community Solutions</w:t>
            </w:r>
          </w:p>
        </w:tc>
      </w:tr>
      <w:tr w:rsidR="00C90313">
        <w:trPr>
          <w:trHeight w:val="587"/>
        </w:trPr>
        <w:tc>
          <w:tcPr>
            <w:tcW w:w="1819" w:type="dxa"/>
          </w:tcPr>
          <w:p w:rsidR="00C90313" w:rsidRDefault="00EB0BCC">
            <w:pPr>
              <w:pStyle w:val="TableParagraph"/>
              <w:spacing w:before="1"/>
              <w:ind w:left="107"/>
              <w:rPr>
                <w:rFonts w:ascii="Calibri"/>
                <w:b/>
                <w:sz w:val="24"/>
              </w:rPr>
            </w:pPr>
            <w:r>
              <w:rPr>
                <w:rFonts w:ascii="Calibri"/>
                <w:b/>
                <w:color w:val="000004"/>
                <w:sz w:val="24"/>
              </w:rPr>
              <w:t>Unit</w:t>
            </w:r>
          </w:p>
        </w:tc>
        <w:tc>
          <w:tcPr>
            <w:tcW w:w="7757" w:type="dxa"/>
            <w:gridSpan w:val="2"/>
          </w:tcPr>
          <w:p w:rsidR="00C90313" w:rsidRDefault="00EB0BCC">
            <w:pPr>
              <w:pStyle w:val="TableParagraph"/>
              <w:spacing w:before="3"/>
              <w:ind w:left="105"/>
              <w:rPr>
                <w:rFonts w:ascii="Calibri"/>
                <w:sz w:val="24"/>
              </w:rPr>
            </w:pPr>
            <w:r>
              <w:rPr>
                <w:rFonts w:ascii="Calibri"/>
                <w:b/>
                <w:color w:val="000004"/>
                <w:position w:val="2"/>
                <w:sz w:val="24"/>
              </w:rPr>
              <w:t xml:space="preserve">School of </w:t>
            </w:r>
            <w:r>
              <w:rPr>
                <w:rFonts w:ascii="Calibri"/>
                <w:color w:val="000004"/>
                <w:sz w:val="24"/>
              </w:rPr>
              <w:t>Criminology and Criminal Justice</w:t>
            </w:r>
          </w:p>
        </w:tc>
      </w:tr>
      <w:tr w:rsidR="00C90313">
        <w:trPr>
          <w:trHeight w:val="585"/>
        </w:trPr>
        <w:tc>
          <w:tcPr>
            <w:tcW w:w="1819" w:type="dxa"/>
          </w:tcPr>
          <w:p w:rsidR="00C90313" w:rsidRDefault="00EB0BCC">
            <w:pPr>
              <w:pStyle w:val="TableParagraph"/>
              <w:spacing w:line="292" w:lineRule="exact"/>
              <w:ind w:left="107"/>
              <w:rPr>
                <w:rFonts w:ascii="Calibri"/>
                <w:b/>
                <w:sz w:val="24"/>
              </w:rPr>
            </w:pPr>
            <w:r>
              <w:rPr>
                <w:rFonts w:ascii="Calibri"/>
                <w:b/>
                <w:color w:val="000004"/>
                <w:sz w:val="24"/>
              </w:rPr>
              <w:t>Document</w:t>
            </w:r>
          </w:p>
        </w:tc>
        <w:tc>
          <w:tcPr>
            <w:tcW w:w="7757" w:type="dxa"/>
            <w:gridSpan w:val="2"/>
          </w:tcPr>
          <w:p w:rsidR="00C90313" w:rsidRDefault="00EB0BCC">
            <w:pPr>
              <w:pStyle w:val="TableParagraph"/>
              <w:tabs>
                <w:tab w:val="left" w:pos="1646"/>
              </w:tabs>
              <w:spacing w:line="213" w:lineRule="auto"/>
              <w:ind w:left="1646" w:right="262" w:hanging="1542"/>
              <w:rPr>
                <w:rFonts w:ascii="Calibri"/>
                <w:sz w:val="24"/>
              </w:rPr>
            </w:pPr>
            <w:r>
              <w:rPr>
                <w:rFonts w:ascii="Calibri"/>
                <w:b/>
                <w:color w:val="000004"/>
                <w:position w:val="-2"/>
                <w:sz w:val="24"/>
              </w:rPr>
              <w:t>Guidelines</w:t>
            </w:r>
            <w:r>
              <w:rPr>
                <w:rFonts w:ascii="Calibri"/>
                <w:b/>
                <w:color w:val="000004"/>
                <w:position w:val="-2"/>
                <w:sz w:val="24"/>
              </w:rPr>
              <w:tab/>
            </w:r>
            <w:r w:rsidR="00B00F2A">
              <w:rPr>
                <w:rFonts w:ascii="Calibri"/>
                <w:color w:val="000004"/>
                <w:sz w:val="24"/>
              </w:rPr>
              <w:t>Annual Performance Rubric for Fixed Term Faculty</w:t>
            </w:r>
          </w:p>
        </w:tc>
      </w:tr>
      <w:tr w:rsidR="00C90313">
        <w:trPr>
          <w:trHeight w:val="585"/>
        </w:trPr>
        <w:tc>
          <w:tcPr>
            <w:tcW w:w="1819" w:type="dxa"/>
          </w:tcPr>
          <w:p w:rsidR="00C90313" w:rsidRDefault="00EB0BCC">
            <w:pPr>
              <w:pStyle w:val="TableParagraph"/>
              <w:spacing w:line="292" w:lineRule="exact"/>
              <w:ind w:left="107"/>
              <w:rPr>
                <w:rFonts w:ascii="Calibri"/>
                <w:b/>
                <w:sz w:val="24"/>
              </w:rPr>
            </w:pPr>
            <w:r>
              <w:rPr>
                <w:rFonts w:ascii="Calibri"/>
                <w:b/>
                <w:color w:val="000004"/>
                <w:sz w:val="24"/>
              </w:rPr>
              <w:t>Approved by</w:t>
            </w:r>
          </w:p>
          <w:p w:rsidR="00C90313" w:rsidRDefault="00EB0BCC">
            <w:pPr>
              <w:pStyle w:val="TableParagraph"/>
              <w:spacing w:line="273" w:lineRule="exact"/>
              <w:ind w:left="107"/>
              <w:rPr>
                <w:rFonts w:ascii="Calibri"/>
                <w:b/>
                <w:sz w:val="24"/>
              </w:rPr>
            </w:pPr>
            <w:r>
              <w:rPr>
                <w:rFonts w:ascii="Calibri"/>
                <w:b/>
                <w:color w:val="000004"/>
                <w:sz w:val="24"/>
              </w:rPr>
              <w:t>the faculty</w:t>
            </w:r>
          </w:p>
        </w:tc>
        <w:tc>
          <w:tcPr>
            <w:tcW w:w="2585" w:type="dxa"/>
          </w:tcPr>
          <w:p w:rsidR="00C90313" w:rsidRDefault="00EB0BCC">
            <w:pPr>
              <w:pStyle w:val="TableParagraph"/>
              <w:spacing w:before="88"/>
              <w:ind w:left="87"/>
              <w:rPr>
                <w:rFonts w:ascii="Calibri"/>
                <w:sz w:val="24"/>
              </w:rPr>
            </w:pPr>
            <w:r>
              <w:rPr>
                <w:rFonts w:ascii="Calibri"/>
                <w:color w:val="000004"/>
                <w:sz w:val="24"/>
              </w:rPr>
              <w:t>yes</w:t>
            </w:r>
          </w:p>
        </w:tc>
        <w:tc>
          <w:tcPr>
            <w:tcW w:w="5172" w:type="dxa"/>
          </w:tcPr>
          <w:p w:rsidR="00C90313" w:rsidRDefault="00EB0BCC">
            <w:pPr>
              <w:pStyle w:val="TableParagraph"/>
              <w:tabs>
                <w:tab w:val="left" w:pos="2692"/>
              </w:tabs>
              <w:spacing w:before="3"/>
              <w:ind w:left="1938"/>
              <w:rPr>
                <w:rFonts w:ascii="Calibri"/>
                <w:sz w:val="24"/>
              </w:rPr>
            </w:pPr>
            <w:r>
              <w:rPr>
                <w:rFonts w:ascii="Calibri"/>
                <w:b/>
                <w:color w:val="000004"/>
                <w:position w:val="15"/>
                <w:sz w:val="24"/>
              </w:rPr>
              <w:t>Date:</w:t>
            </w:r>
            <w:r>
              <w:rPr>
                <w:rFonts w:ascii="Calibri"/>
                <w:b/>
                <w:color w:val="000004"/>
                <w:position w:val="15"/>
                <w:sz w:val="24"/>
              </w:rPr>
              <w:tab/>
            </w:r>
            <w:r>
              <w:rPr>
                <w:rFonts w:ascii="Calibri"/>
                <w:color w:val="000004"/>
                <w:sz w:val="24"/>
              </w:rPr>
              <w:t>5/1/2020</w:t>
            </w:r>
          </w:p>
        </w:tc>
      </w:tr>
      <w:tr w:rsidR="00C90313">
        <w:trPr>
          <w:trHeight w:val="587"/>
        </w:trPr>
        <w:tc>
          <w:tcPr>
            <w:tcW w:w="1819" w:type="dxa"/>
          </w:tcPr>
          <w:p w:rsidR="00C90313" w:rsidRDefault="00EB0BCC">
            <w:pPr>
              <w:pStyle w:val="TableParagraph"/>
              <w:spacing w:before="1" w:line="290" w:lineRule="atLeast"/>
              <w:ind w:left="107" w:right="407"/>
              <w:rPr>
                <w:rFonts w:ascii="Calibri"/>
                <w:b/>
                <w:sz w:val="24"/>
              </w:rPr>
            </w:pPr>
            <w:r>
              <w:rPr>
                <w:rFonts w:ascii="Calibri"/>
                <w:b/>
                <w:color w:val="000004"/>
                <w:sz w:val="24"/>
              </w:rPr>
              <w:t>Reviewed by the dean</w:t>
            </w:r>
          </w:p>
        </w:tc>
        <w:tc>
          <w:tcPr>
            <w:tcW w:w="2585" w:type="dxa"/>
          </w:tcPr>
          <w:p w:rsidR="00C90313" w:rsidRDefault="009E5B21">
            <w:pPr>
              <w:pStyle w:val="TableParagraph"/>
              <w:rPr>
                <w:sz w:val="20"/>
              </w:rPr>
            </w:pPr>
            <w:r>
              <w:rPr>
                <w:sz w:val="20"/>
              </w:rPr>
              <w:t xml:space="preserve"> Yes</w:t>
            </w:r>
          </w:p>
        </w:tc>
        <w:tc>
          <w:tcPr>
            <w:tcW w:w="5172" w:type="dxa"/>
          </w:tcPr>
          <w:p w:rsidR="00C90313" w:rsidRPr="009E5B21" w:rsidRDefault="00EB0BCC">
            <w:pPr>
              <w:pStyle w:val="TableParagraph"/>
              <w:spacing w:before="1"/>
              <w:ind w:left="1938"/>
              <w:rPr>
                <w:rFonts w:ascii="Calibri"/>
                <w:sz w:val="24"/>
              </w:rPr>
            </w:pPr>
            <w:r>
              <w:rPr>
                <w:rFonts w:ascii="Calibri"/>
                <w:b/>
                <w:color w:val="000004"/>
                <w:sz w:val="24"/>
              </w:rPr>
              <w:t>Date:</w:t>
            </w:r>
            <w:r w:rsidR="009E5B21">
              <w:rPr>
                <w:rFonts w:ascii="Calibri"/>
                <w:b/>
                <w:color w:val="000004"/>
                <w:sz w:val="24"/>
              </w:rPr>
              <w:t xml:space="preserve">   </w:t>
            </w:r>
            <w:r w:rsidR="009E5B21">
              <w:rPr>
                <w:rFonts w:ascii="Calibri"/>
                <w:color w:val="000004"/>
                <w:sz w:val="24"/>
              </w:rPr>
              <w:t>9/18/20</w:t>
            </w:r>
            <w:bookmarkStart w:id="1" w:name="_GoBack"/>
            <w:bookmarkEnd w:id="1"/>
          </w:p>
        </w:tc>
      </w:tr>
    </w:tbl>
    <w:p w:rsidR="00C90313" w:rsidRDefault="00C90313">
      <w:pPr>
        <w:rPr>
          <w:sz w:val="20"/>
        </w:rPr>
      </w:pPr>
    </w:p>
    <w:p w:rsidR="00C90313" w:rsidRDefault="00C90313">
      <w:pPr>
        <w:rPr>
          <w:sz w:val="20"/>
        </w:rPr>
      </w:pPr>
    </w:p>
    <w:p w:rsidR="00C90313" w:rsidRDefault="00C90313">
      <w:pPr>
        <w:rPr>
          <w:sz w:val="27"/>
        </w:rPr>
      </w:pPr>
    </w:p>
    <w:p w:rsidR="00C90313" w:rsidRDefault="00EB0BCC">
      <w:pPr>
        <w:spacing w:before="57" w:after="3"/>
        <w:ind w:left="220"/>
        <w:rPr>
          <w:rFonts w:ascii="Calibri"/>
          <w:b/>
        </w:rPr>
      </w:pPr>
      <w:r>
        <w:rPr>
          <w:rFonts w:ascii="Calibri"/>
          <w:b/>
          <w:color w:val="000004"/>
        </w:rPr>
        <w:t>Provost office approval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8"/>
        <w:gridCol w:w="1548"/>
      </w:tblGrid>
      <w:tr w:rsidR="00C90313">
        <w:trPr>
          <w:trHeight w:val="381"/>
        </w:trPr>
        <w:tc>
          <w:tcPr>
            <w:tcW w:w="8028" w:type="dxa"/>
          </w:tcPr>
          <w:p w:rsidR="00C90313" w:rsidRDefault="00C90313">
            <w:pPr>
              <w:pStyle w:val="TableParagraph"/>
              <w:rPr>
                <w:sz w:val="20"/>
              </w:rPr>
            </w:pPr>
          </w:p>
        </w:tc>
        <w:tc>
          <w:tcPr>
            <w:tcW w:w="1548" w:type="dxa"/>
          </w:tcPr>
          <w:p w:rsidR="00C90313" w:rsidRDefault="00C90313">
            <w:pPr>
              <w:pStyle w:val="TableParagraph"/>
              <w:rPr>
                <w:sz w:val="20"/>
              </w:rPr>
            </w:pPr>
          </w:p>
        </w:tc>
      </w:tr>
      <w:tr w:rsidR="00C90313">
        <w:trPr>
          <w:trHeight w:val="381"/>
        </w:trPr>
        <w:tc>
          <w:tcPr>
            <w:tcW w:w="8028" w:type="dxa"/>
          </w:tcPr>
          <w:p w:rsidR="00C90313" w:rsidRDefault="00EB0BCC">
            <w:pPr>
              <w:pStyle w:val="TableParagraph"/>
              <w:spacing w:line="292" w:lineRule="exact"/>
              <w:ind w:left="107"/>
              <w:rPr>
                <w:rFonts w:ascii="Calibri"/>
                <w:b/>
                <w:sz w:val="24"/>
              </w:rPr>
            </w:pPr>
            <w:r>
              <w:rPr>
                <w:rFonts w:ascii="Calibri"/>
                <w:b/>
                <w:color w:val="000004"/>
                <w:sz w:val="24"/>
              </w:rPr>
              <w:t>Deborah Clarke, Vice Provost for Academic Personnel</w:t>
            </w:r>
          </w:p>
        </w:tc>
        <w:tc>
          <w:tcPr>
            <w:tcW w:w="1548" w:type="dxa"/>
          </w:tcPr>
          <w:p w:rsidR="00C90313" w:rsidRDefault="00EB0BCC">
            <w:pPr>
              <w:pStyle w:val="TableParagraph"/>
              <w:spacing w:line="292" w:lineRule="exact"/>
              <w:ind w:left="107"/>
              <w:rPr>
                <w:rFonts w:ascii="Calibri"/>
                <w:b/>
                <w:sz w:val="24"/>
              </w:rPr>
            </w:pPr>
            <w:r>
              <w:rPr>
                <w:rFonts w:ascii="Calibri"/>
                <w:b/>
                <w:color w:val="000004"/>
                <w:sz w:val="24"/>
              </w:rPr>
              <w:t>Date</w:t>
            </w:r>
          </w:p>
        </w:tc>
      </w:tr>
    </w:tbl>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rPr>
          <w:rFonts w:ascii="Calibri"/>
          <w:b/>
          <w:sz w:val="22"/>
        </w:rPr>
      </w:pPr>
    </w:p>
    <w:p w:rsidR="00C90313" w:rsidRDefault="00C90313">
      <w:pPr>
        <w:pStyle w:val="BodyText"/>
        <w:spacing w:before="9"/>
        <w:rPr>
          <w:rFonts w:ascii="Calibri"/>
          <w:b/>
          <w:sz w:val="32"/>
        </w:rPr>
      </w:pPr>
    </w:p>
    <w:p w:rsidR="00C90313" w:rsidRDefault="00EB0BCC">
      <w:pPr>
        <w:ind w:left="3587" w:right="3587"/>
        <w:jc w:val="center"/>
        <w:rPr>
          <w:rFonts w:ascii="Arial"/>
          <w:b/>
          <w:sz w:val="16"/>
        </w:rPr>
      </w:pPr>
      <w:r>
        <w:rPr>
          <w:rFonts w:ascii="Arial"/>
          <w:b/>
          <w:color w:val="990000"/>
          <w:sz w:val="16"/>
        </w:rPr>
        <w:t>Office of the University Provost</w:t>
      </w:r>
    </w:p>
    <w:p w:rsidR="00C90313" w:rsidRDefault="00C90313">
      <w:pPr>
        <w:pStyle w:val="BodyText"/>
        <w:spacing w:before="2"/>
        <w:rPr>
          <w:b/>
        </w:rPr>
      </w:pPr>
    </w:p>
    <w:p w:rsidR="00C90313" w:rsidRDefault="00EB0BCC">
      <w:pPr>
        <w:pStyle w:val="BodyText"/>
        <w:spacing w:before="1" w:line="161" w:lineRule="exact"/>
        <w:ind w:left="3587" w:right="3589"/>
        <w:jc w:val="center"/>
      </w:pPr>
      <w:r>
        <w:rPr>
          <w:color w:val="990000"/>
        </w:rPr>
        <w:t>300 East University Drive</w:t>
      </w:r>
    </w:p>
    <w:p w:rsidR="00C90313" w:rsidRDefault="00EB0BCC">
      <w:pPr>
        <w:pStyle w:val="BodyText"/>
        <w:ind w:left="3587" w:right="3589"/>
        <w:jc w:val="center"/>
      </w:pPr>
      <w:r>
        <w:rPr>
          <w:color w:val="990000"/>
        </w:rPr>
        <w:t>P.O. Box 877805 Tempe, AZ 85287-7805</w:t>
      </w:r>
    </w:p>
    <w:p w:rsidR="00C90313" w:rsidRDefault="00EB0BCC">
      <w:pPr>
        <w:pStyle w:val="BodyText"/>
        <w:spacing w:before="2" w:line="161" w:lineRule="exact"/>
        <w:ind w:left="3587" w:right="3587"/>
        <w:jc w:val="center"/>
      </w:pPr>
      <w:r>
        <w:rPr>
          <w:color w:val="990000"/>
        </w:rPr>
        <w:t>(480) 965-4995 Fax: (480) 965-0785</w:t>
      </w:r>
    </w:p>
    <w:p w:rsidR="00C90313" w:rsidRDefault="00EB0BCC">
      <w:pPr>
        <w:pStyle w:val="BodyText"/>
        <w:ind w:left="3587" w:right="3587"/>
        <w:jc w:val="center"/>
      </w:pPr>
      <w:r>
        <w:rPr>
          <w:color w:val="990000"/>
        </w:rPr>
        <w:t>https://provost.asu.edu/</w:t>
      </w:r>
    </w:p>
    <w:p w:rsidR="00C90313" w:rsidRDefault="00C90313">
      <w:pPr>
        <w:pStyle w:val="BodyText"/>
        <w:spacing w:before="4"/>
        <w:rPr>
          <w:sz w:val="23"/>
        </w:rPr>
      </w:pPr>
    </w:p>
    <w:p w:rsidR="00C90313" w:rsidRDefault="00EB0BCC">
      <w:pPr>
        <w:ind w:right="215"/>
        <w:jc w:val="right"/>
        <w:rPr>
          <w:rFonts w:ascii="Calibri"/>
          <w:sz w:val="16"/>
        </w:rPr>
      </w:pPr>
      <w:r>
        <w:rPr>
          <w:rFonts w:ascii="Calibri"/>
          <w:sz w:val="16"/>
        </w:rPr>
        <w:t>5-7-15</w:t>
      </w:r>
    </w:p>
    <w:p w:rsidR="00C90313" w:rsidRDefault="00C90313">
      <w:pPr>
        <w:jc w:val="right"/>
        <w:rPr>
          <w:rFonts w:ascii="Calibri"/>
          <w:sz w:val="16"/>
        </w:rPr>
        <w:sectPr w:rsidR="00C90313">
          <w:headerReference w:type="first" r:id="rId7"/>
          <w:type w:val="continuous"/>
          <w:pgSz w:w="12240" w:h="15840"/>
          <w:pgMar w:top="720" w:right="1220" w:bottom="280" w:left="1220" w:header="720" w:footer="720" w:gutter="0"/>
          <w:cols w:space="720"/>
        </w:sectPr>
      </w:pPr>
    </w:p>
    <w:tbl>
      <w:tblPr>
        <w:tblW w:w="0" w:type="auto"/>
        <w:tblCellSpacing w:w="5" w:type="dxa"/>
        <w:tblInd w:w="122" w:type="dxa"/>
        <w:tblLayout w:type="fixed"/>
        <w:tblCellMar>
          <w:left w:w="0" w:type="dxa"/>
          <w:right w:w="0" w:type="dxa"/>
        </w:tblCellMar>
        <w:tblLook w:val="01E0" w:firstRow="1" w:lastRow="1" w:firstColumn="1" w:lastColumn="1" w:noHBand="0" w:noVBand="0"/>
      </w:tblPr>
      <w:tblGrid>
        <w:gridCol w:w="1271"/>
        <w:gridCol w:w="2672"/>
        <w:gridCol w:w="2671"/>
        <w:gridCol w:w="2673"/>
        <w:gridCol w:w="2672"/>
        <w:gridCol w:w="2672"/>
      </w:tblGrid>
      <w:tr w:rsidR="00C90313">
        <w:trPr>
          <w:trHeight w:val="919"/>
          <w:tblCellSpacing w:w="5" w:type="dxa"/>
        </w:trPr>
        <w:tc>
          <w:tcPr>
            <w:tcW w:w="14561" w:type="dxa"/>
            <w:gridSpan w:val="6"/>
            <w:tcBorders>
              <w:top w:val="nil"/>
              <w:left w:val="nil"/>
              <w:right w:val="nil"/>
            </w:tcBorders>
            <w:shd w:val="clear" w:color="auto" w:fill="4471C4"/>
          </w:tcPr>
          <w:p w:rsidR="00C90313" w:rsidRDefault="00EB0BCC">
            <w:pPr>
              <w:pStyle w:val="TableParagraph"/>
              <w:tabs>
                <w:tab w:val="left" w:pos="11483"/>
                <w:tab w:val="left" w:pos="11843"/>
              </w:tabs>
              <w:spacing w:before="119"/>
              <w:ind w:left="103"/>
              <w:rPr>
                <w:b/>
                <w:sz w:val="24"/>
              </w:rPr>
            </w:pPr>
            <w:bookmarkStart w:id="2" w:name="Rubric"/>
            <w:bookmarkEnd w:id="2"/>
            <w:r>
              <w:rPr>
                <w:b/>
                <w:color w:val="FFFF00"/>
                <w:sz w:val="24"/>
              </w:rPr>
              <w:lastRenderedPageBreak/>
              <w:t>I. Teaching and Instructionally-Related Activities (IRA) for Full-Time,</w:t>
            </w:r>
            <w:r>
              <w:rPr>
                <w:b/>
                <w:color w:val="FFFF00"/>
                <w:spacing w:val="-23"/>
                <w:sz w:val="24"/>
              </w:rPr>
              <w:t xml:space="preserve"> </w:t>
            </w:r>
            <w:r>
              <w:rPr>
                <w:b/>
                <w:color w:val="FFFF00"/>
                <w:sz w:val="24"/>
              </w:rPr>
              <w:t>Nontenure-Track Faculty</w:t>
            </w:r>
            <w:r>
              <w:rPr>
                <w:b/>
                <w:color w:val="FFFF00"/>
                <w:sz w:val="24"/>
              </w:rPr>
              <w:tab/>
            </w:r>
            <w:r>
              <w:rPr>
                <w:b/>
                <w:color w:val="FFFF00"/>
                <w:sz w:val="24"/>
                <w:u w:val="single" w:color="FEFE00"/>
              </w:rPr>
              <w:t xml:space="preserve"> </w:t>
            </w:r>
            <w:r>
              <w:rPr>
                <w:b/>
                <w:color w:val="FFFF00"/>
                <w:sz w:val="24"/>
                <w:u w:val="single" w:color="FEFE00"/>
              </w:rPr>
              <w:tab/>
            </w:r>
            <w:r>
              <w:rPr>
                <w:b/>
                <w:color w:val="FFFF00"/>
                <w:sz w:val="24"/>
              </w:rPr>
              <w:t>out of 25 possible</w:t>
            </w:r>
            <w:r>
              <w:rPr>
                <w:b/>
                <w:color w:val="FFFF00"/>
                <w:spacing w:val="-4"/>
                <w:sz w:val="24"/>
              </w:rPr>
              <w:t xml:space="preserve"> </w:t>
            </w:r>
            <w:r>
              <w:rPr>
                <w:b/>
                <w:color w:val="FFFF00"/>
                <w:sz w:val="24"/>
              </w:rPr>
              <w:t>points</w:t>
            </w:r>
          </w:p>
          <w:p w:rsidR="00C90313" w:rsidRDefault="00EB0BCC">
            <w:pPr>
              <w:pStyle w:val="TableParagraph"/>
              <w:spacing w:before="121"/>
              <w:ind w:left="3705"/>
              <w:rPr>
                <w:b/>
                <w:sz w:val="18"/>
              </w:rPr>
            </w:pPr>
            <w:r>
              <w:rPr>
                <w:b/>
                <w:color w:val="FFFFFF"/>
                <w:sz w:val="18"/>
              </w:rPr>
              <w:t>For Instructors, Lecturers (any rank), Clinical Faculty (any rank), and Professors of Practice</w:t>
            </w:r>
          </w:p>
        </w:tc>
      </w:tr>
      <w:tr w:rsidR="00C90313">
        <w:trPr>
          <w:trHeight w:val="607"/>
          <w:tblCellSpacing w:w="5" w:type="dxa"/>
        </w:trPr>
        <w:tc>
          <w:tcPr>
            <w:tcW w:w="1256" w:type="dxa"/>
            <w:tcBorders>
              <w:left w:val="nil"/>
              <w:right w:val="nil"/>
            </w:tcBorders>
            <w:shd w:val="clear" w:color="auto" w:fill="4471C4"/>
          </w:tcPr>
          <w:p w:rsidR="00C90313" w:rsidRDefault="00EB0BCC">
            <w:pPr>
              <w:pStyle w:val="TableParagraph"/>
              <w:spacing w:before="194"/>
              <w:ind w:left="169" w:right="169"/>
              <w:jc w:val="center"/>
              <w:rPr>
                <w:b/>
                <w:sz w:val="20"/>
              </w:rPr>
            </w:pPr>
            <w:r>
              <w:rPr>
                <w:b/>
                <w:color w:val="FFFFFF"/>
                <w:sz w:val="20"/>
              </w:rPr>
              <w:t>Indicators</w:t>
            </w:r>
          </w:p>
        </w:tc>
        <w:tc>
          <w:tcPr>
            <w:tcW w:w="2662" w:type="dxa"/>
            <w:tcBorders>
              <w:left w:val="nil"/>
            </w:tcBorders>
            <w:shd w:val="clear" w:color="auto" w:fill="B4C5E7"/>
          </w:tcPr>
          <w:p w:rsidR="00C90313" w:rsidRDefault="00EB0BCC">
            <w:pPr>
              <w:pStyle w:val="TableParagraph"/>
              <w:spacing w:before="105"/>
              <w:ind w:right="1"/>
              <w:jc w:val="center"/>
              <w:rPr>
                <w:b/>
                <w:sz w:val="17"/>
              </w:rPr>
            </w:pPr>
            <w:r>
              <w:rPr>
                <w:b/>
                <w:sz w:val="17"/>
              </w:rPr>
              <w:t>5</w:t>
            </w:r>
          </w:p>
          <w:p w:rsidR="00C90313" w:rsidRDefault="00EB0BCC">
            <w:pPr>
              <w:pStyle w:val="TableParagraph"/>
              <w:spacing w:before="20"/>
              <w:ind w:left="260" w:right="263"/>
              <w:jc w:val="center"/>
              <w:rPr>
                <w:b/>
                <w:sz w:val="17"/>
              </w:rPr>
            </w:pPr>
            <w:r>
              <w:rPr>
                <w:b/>
                <w:sz w:val="17"/>
              </w:rPr>
              <w:t>Extraordinary Performance</w:t>
            </w:r>
          </w:p>
        </w:tc>
        <w:tc>
          <w:tcPr>
            <w:tcW w:w="2661" w:type="dxa"/>
            <w:shd w:val="clear" w:color="auto" w:fill="B4C5E7"/>
          </w:tcPr>
          <w:p w:rsidR="00C90313" w:rsidRDefault="00EB0BCC">
            <w:pPr>
              <w:pStyle w:val="TableParagraph"/>
              <w:spacing w:before="105"/>
              <w:ind w:left="4"/>
              <w:jc w:val="center"/>
              <w:rPr>
                <w:b/>
                <w:sz w:val="17"/>
              </w:rPr>
            </w:pPr>
            <w:r>
              <w:rPr>
                <w:b/>
                <w:sz w:val="17"/>
              </w:rPr>
              <w:t>4</w:t>
            </w:r>
          </w:p>
          <w:p w:rsidR="00C90313" w:rsidRDefault="00EB0BCC">
            <w:pPr>
              <w:pStyle w:val="TableParagraph"/>
              <w:spacing w:before="20"/>
              <w:ind w:left="530" w:right="527"/>
              <w:jc w:val="center"/>
              <w:rPr>
                <w:b/>
                <w:sz w:val="17"/>
              </w:rPr>
            </w:pPr>
            <w:r>
              <w:rPr>
                <w:b/>
                <w:sz w:val="17"/>
              </w:rPr>
              <w:t>Exceeds Expectations</w:t>
            </w:r>
          </w:p>
        </w:tc>
        <w:tc>
          <w:tcPr>
            <w:tcW w:w="2663" w:type="dxa"/>
            <w:shd w:val="clear" w:color="auto" w:fill="B4C5E7"/>
          </w:tcPr>
          <w:p w:rsidR="00C90313" w:rsidRDefault="00EB0BCC">
            <w:pPr>
              <w:pStyle w:val="TableParagraph"/>
              <w:spacing w:before="114"/>
              <w:ind w:left="3"/>
              <w:jc w:val="center"/>
              <w:rPr>
                <w:b/>
                <w:sz w:val="17"/>
              </w:rPr>
            </w:pPr>
            <w:r>
              <w:rPr>
                <w:b/>
                <w:sz w:val="17"/>
              </w:rPr>
              <w:t>3</w:t>
            </w:r>
          </w:p>
          <w:p w:rsidR="00C90313" w:rsidRDefault="00EB0BCC">
            <w:pPr>
              <w:pStyle w:val="TableParagraph"/>
              <w:spacing w:before="2"/>
              <w:ind w:left="607" w:right="603"/>
              <w:jc w:val="center"/>
              <w:rPr>
                <w:b/>
                <w:sz w:val="17"/>
              </w:rPr>
            </w:pPr>
            <w:r>
              <w:rPr>
                <w:b/>
                <w:sz w:val="17"/>
              </w:rPr>
              <w:t>Meets Expectations</w:t>
            </w:r>
          </w:p>
        </w:tc>
        <w:tc>
          <w:tcPr>
            <w:tcW w:w="2662" w:type="dxa"/>
            <w:tcBorders>
              <w:right w:val="nil"/>
            </w:tcBorders>
            <w:shd w:val="clear" w:color="auto" w:fill="B4C5E7"/>
          </w:tcPr>
          <w:p w:rsidR="00C90313" w:rsidRDefault="00EB0BCC">
            <w:pPr>
              <w:pStyle w:val="TableParagraph"/>
              <w:spacing w:before="114"/>
              <w:ind w:left="8"/>
              <w:jc w:val="center"/>
              <w:rPr>
                <w:b/>
                <w:sz w:val="17"/>
              </w:rPr>
            </w:pPr>
            <w:r>
              <w:rPr>
                <w:b/>
                <w:sz w:val="17"/>
              </w:rPr>
              <w:t>2</w:t>
            </w:r>
          </w:p>
          <w:p w:rsidR="00C90313" w:rsidRDefault="00EB0BCC">
            <w:pPr>
              <w:pStyle w:val="TableParagraph"/>
              <w:spacing w:before="2"/>
              <w:ind w:left="271" w:right="263"/>
              <w:jc w:val="center"/>
              <w:rPr>
                <w:b/>
                <w:sz w:val="17"/>
              </w:rPr>
            </w:pPr>
            <w:r>
              <w:rPr>
                <w:b/>
                <w:sz w:val="17"/>
              </w:rPr>
              <w:t>Partially Meets Expectations</w:t>
            </w:r>
          </w:p>
        </w:tc>
        <w:tc>
          <w:tcPr>
            <w:tcW w:w="2657" w:type="dxa"/>
            <w:tcBorders>
              <w:left w:val="nil"/>
              <w:right w:val="nil"/>
            </w:tcBorders>
            <w:shd w:val="clear" w:color="auto" w:fill="B4C5E7"/>
          </w:tcPr>
          <w:p w:rsidR="00C90313" w:rsidRDefault="00EB0BCC">
            <w:pPr>
              <w:pStyle w:val="TableParagraph"/>
              <w:spacing w:before="114"/>
              <w:ind w:left="3"/>
              <w:jc w:val="center"/>
              <w:rPr>
                <w:b/>
                <w:sz w:val="17"/>
              </w:rPr>
            </w:pPr>
            <w:r>
              <w:rPr>
                <w:b/>
                <w:sz w:val="17"/>
              </w:rPr>
              <w:t>1</w:t>
            </w:r>
          </w:p>
          <w:p w:rsidR="00C90313" w:rsidRDefault="00EB0BCC">
            <w:pPr>
              <w:pStyle w:val="TableParagraph"/>
              <w:spacing w:before="2"/>
              <w:ind w:left="326" w:right="322"/>
              <w:jc w:val="center"/>
              <w:rPr>
                <w:b/>
                <w:sz w:val="17"/>
              </w:rPr>
            </w:pPr>
            <w:r>
              <w:rPr>
                <w:b/>
                <w:sz w:val="17"/>
              </w:rPr>
              <w:t>Unacceptable Performance</w:t>
            </w:r>
          </w:p>
        </w:tc>
      </w:tr>
      <w:tr w:rsidR="00C90313">
        <w:trPr>
          <w:trHeight w:val="766"/>
          <w:tblCellSpacing w:w="5" w:type="dxa"/>
        </w:trPr>
        <w:tc>
          <w:tcPr>
            <w:tcW w:w="1256" w:type="dxa"/>
            <w:tcBorders>
              <w:left w:val="nil"/>
              <w:right w:val="nil"/>
            </w:tcBorders>
            <w:shd w:val="clear" w:color="auto" w:fill="4471C4"/>
          </w:tcPr>
          <w:p w:rsidR="00C90313" w:rsidRDefault="00EB0BCC">
            <w:pPr>
              <w:pStyle w:val="TableParagraph"/>
              <w:spacing w:before="158"/>
              <w:ind w:left="129" w:right="117" w:firstLine="180"/>
              <w:rPr>
                <w:b/>
                <w:i/>
                <w:sz w:val="20"/>
              </w:rPr>
            </w:pPr>
            <w:r>
              <w:rPr>
                <w:b/>
                <w:i/>
                <w:color w:val="FFFFFF"/>
                <w:sz w:val="20"/>
              </w:rPr>
              <w:t>Student Evaluations</w:t>
            </w:r>
          </w:p>
        </w:tc>
        <w:tc>
          <w:tcPr>
            <w:tcW w:w="2662" w:type="dxa"/>
            <w:tcBorders>
              <w:left w:val="nil"/>
            </w:tcBorders>
            <w:shd w:val="clear" w:color="auto" w:fill="D9E1F3"/>
          </w:tcPr>
          <w:p w:rsidR="00C90313" w:rsidRDefault="00EB0BCC">
            <w:pPr>
              <w:pStyle w:val="TableParagraph"/>
              <w:spacing w:before="21"/>
              <w:ind w:left="99" w:right="188"/>
              <w:rPr>
                <w:sz w:val="16"/>
              </w:rPr>
            </w:pPr>
            <w:r>
              <w:rPr>
                <w:sz w:val="16"/>
              </w:rPr>
              <w:t>Mean responses to all or nearly all questions directly related to teaching skills in 1.00 to 2.00 range, with no means exceeding 2.00.</w:t>
            </w:r>
          </w:p>
        </w:tc>
        <w:tc>
          <w:tcPr>
            <w:tcW w:w="2661" w:type="dxa"/>
            <w:shd w:val="clear" w:color="auto" w:fill="D9E1F3"/>
          </w:tcPr>
          <w:p w:rsidR="00C90313" w:rsidRDefault="00EB0BCC">
            <w:pPr>
              <w:pStyle w:val="TableParagraph"/>
              <w:spacing w:before="21"/>
              <w:ind w:left="104" w:right="182"/>
              <w:rPr>
                <w:sz w:val="16"/>
              </w:rPr>
            </w:pPr>
            <w:r>
              <w:rPr>
                <w:sz w:val="16"/>
              </w:rPr>
              <w:t>Mean responses to a majority of questions directly related to teaching skills in 1.00 to 2.00 range, with no means exceeding 2.50.</w:t>
            </w:r>
          </w:p>
        </w:tc>
        <w:tc>
          <w:tcPr>
            <w:tcW w:w="2663" w:type="dxa"/>
            <w:shd w:val="clear" w:color="auto" w:fill="D9E1F3"/>
          </w:tcPr>
          <w:p w:rsidR="00C90313" w:rsidRDefault="00EB0BCC">
            <w:pPr>
              <w:pStyle w:val="TableParagraph"/>
              <w:spacing w:before="21"/>
              <w:ind w:left="104" w:right="117"/>
              <w:rPr>
                <w:sz w:val="16"/>
              </w:rPr>
            </w:pPr>
            <w:r>
              <w:rPr>
                <w:sz w:val="16"/>
              </w:rPr>
              <w:t>Mean responses to a majority of questions directly related to teaching skills in 1.00 to 2.50 range, with no more than two means exceeding 3.00.</w:t>
            </w:r>
          </w:p>
        </w:tc>
        <w:tc>
          <w:tcPr>
            <w:tcW w:w="2662" w:type="dxa"/>
            <w:tcBorders>
              <w:right w:val="nil"/>
            </w:tcBorders>
            <w:shd w:val="clear" w:color="auto" w:fill="D9E1F3"/>
          </w:tcPr>
          <w:p w:rsidR="00C90313" w:rsidRDefault="00EB0BCC">
            <w:pPr>
              <w:pStyle w:val="TableParagraph"/>
              <w:spacing w:before="21"/>
              <w:ind w:left="105" w:right="115"/>
              <w:rPr>
                <w:sz w:val="16"/>
              </w:rPr>
            </w:pPr>
            <w:r>
              <w:rPr>
                <w:sz w:val="16"/>
              </w:rPr>
              <w:t>Mean responses to a majority of questions directly related to teaching skills in 1.00 to 2.50 range, with no more than two means exceeding 3.50.</w:t>
            </w:r>
          </w:p>
        </w:tc>
        <w:tc>
          <w:tcPr>
            <w:tcW w:w="2657" w:type="dxa"/>
            <w:tcBorders>
              <w:left w:val="nil"/>
              <w:right w:val="nil"/>
            </w:tcBorders>
            <w:shd w:val="clear" w:color="auto" w:fill="D9E1F3"/>
          </w:tcPr>
          <w:p w:rsidR="00C90313" w:rsidRDefault="00EB0BCC">
            <w:pPr>
              <w:pStyle w:val="TableParagraph"/>
              <w:spacing w:before="114"/>
              <w:ind w:left="102" w:right="180"/>
              <w:rPr>
                <w:sz w:val="16"/>
              </w:rPr>
            </w:pPr>
            <w:r>
              <w:rPr>
                <w:sz w:val="16"/>
              </w:rPr>
              <w:t>Mean responses to a majority of questions directly related to teaching skills exceed 4.00.</w:t>
            </w:r>
          </w:p>
        </w:tc>
      </w:tr>
      <w:tr w:rsidR="00C90313">
        <w:trPr>
          <w:trHeight w:val="1500"/>
          <w:tblCellSpacing w:w="5" w:type="dxa"/>
        </w:trPr>
        <w:tc>
          <w:tcPr>
            <w:tcW w:w="1256" w:type="dxa"/>
            <w:tcBorders>
              <w:left w:val="nil"/>
              <w:right w:val="nil"/>
            </w:tcBorders>
            <w:shd w:val="clear" w:color="auto" w:fill="4471C4"/>
          </w:tcPr>
          <w:p w:rsidR="00C90313" w:rsidRDefault="00C90313">
            <w:pPr>
              <w:pStyle w:val="TableParagraph"/>
              <w:rPr>
                <w:rFonts w:ascii="Calibri"/>
              </w:rPr>
            </w:pPr>
          </w:p>
          <w:p w:rsidR="00C90313" w:rsidRDefault="00C90313">
            <w:pPr>
              <w:pStyle w:val="TableParagraph"/>
              <w:rPr>
                <w:rFonts w:ascii="Calibri"/>
                <w:sz w:val="21"/>
              </w:rPr>
            </w:pPr>
          </w:p>
          <w:p w:rsidR="00C90313" w:rsidRDefault="00EB0BCC">
            <w:pPr>
              <w:pStyle w:val="TableParagraph"/>
              <w:spacing w:before="1"/>
              <w:ind w:left="129" w:right="117" w:firstLine="307"/>
              <w:rPr>
                <w:b/>
                <w:i/>
                <w:sz w:val="20"/>
              </w:rPr>
            </w:pPr>
            <w:r>
              <w:rPr>
                <w:b/>
                <w:i/>
                <w:color w:val="FFFFFF"/>
                <w:sz w:val="20"/>
              </w:rPr>
              <w:t>Peer Evaluations</w:t>
            </w:r>
          </w:p>
        </w:tc>
        <w:tc>
          <w:tcPr>
            <w:tcW w:w="2662" w:type="dxa"/>
            <w:tcBorders>
              <w:left w:val="nil"/>
            </w:tcBorders>
            <w:shd w:val="clear" w:color="auto" w:fill="B4C5E7"/>
          </w:tcPr>
          <w:p w:rsidR="00C90313" w:rsidRDefault="00C90313">
            <w:pPr>
              <w:pStyle w:val="TableParagraph"/>
              <w:rPr>
                <w:rFonts w:ascii="Calibri"/>
                <w:sz w:val="18"/>
              </w:rPr>
            </w:pPr>
          </w:p>
          <w:p w:rsidR="00C90313" w:rsidRDefault="00C90313">
            <w:pPr>
              <w:pStyle w:val="TableParagraph"/>
              <w:spacing w:before="9"/>
              <w:rPr>
                <w:rFonts w:ascii="Calibri"/>
                <w:sz w:val="13"/>
              </w:rPr>
            </w:pPr>
          </w:p>
          <w:p w:rsidR="00C90313" w:rsidRDefault="00EB0BCC">
            <w:pPr>
              <w:pStyle w:val="TableParagraph"/>
              <w:ind w:left="99" w:right="139"/>
              <w:rPr>
                <w:sz w:val="16"/>
              </w:rPr>
            </w:pPr>
            <w:r>
              <w:rPr>
                <w:sz w:val="16"/>
              </w:rPr>
              <w:t>Exemplary feedback across all or nearly all dimensions explored on the Peer Evaluation of Teaching Form. Overall rating of "exemplary."</w:t>
            </w:r>
          </w:p>
        </w:tc>
        <w:tc>
          <w:tcPr>
            <w:tcW w:w="2661" w:type="dxa"/>
            <w:shd w:val="clear" w:color="auto" w:fill="B4C5E7"/>
          </w:tcPr>
          <w:p w:rsidR="00C90313" w:rsidRDefault="00C90313">
            <w:pPr>
              <w:pStyle w:val="TableParagraph"/>
              <w:spacing w:before="7"/>
              <w:rPr>
                <w:rFonts w:ascii="Calibri"/>
                <w:sz w:val="16"/>
              </w:rPr>
            </w:pPr>
          </w:p>
          <w:p w:rsidR="00C90313" w:rsidRDefault="00EB0BCC">
            <w:pPr>
              <w:pStyle w:val="TableParagraph"/>
              <w:spacing w:before="1"/>
              <w:ind w:left="104" w:right="151"/>
              <w:rPr>
                <w:sz w:val="16"/>
              </w:rPr>
            </w:pPr>
            <w:r>
              <w:rPr>
                <w:sz w:val="16"/>
              </w:rPr>
              <w:t>Positive feedback across all or nearly all dimensions explored on the Peer Evaluation of Teaching Form with only minor suggestions for improvement. Overall rating of "proficient."</w:t>
            </w:r>
          </w:p>
        </w:tc>
        <w:tc>
          <w:tcPr>
            <w:tcW w:w="2663" w:type="dxa"/>
            <w:shd w:val="clear" w:color="auto" w:fill="B4C5E7"/>
          </w:tcPr>
          <w:p w:rsidR="00C90313" w:rsidRDefault="00EB0BCC">
            <w:pPr>
              <w:pStyle w:val="TableParagraph"/>
              <w:spacing w:before="112"/>
              <w:ind w:left="104" w:right="115"/>
              <w:rPr>
                <w:sz w:val="16"/>
              </w:rPr>
            </w:pPr>
            <w:r>
              <w:rPr>
                <w:sz w:val="16"/>
              </w:rPr>
              <w:t>Mostly positive feedback across all or nearly all dimensions explored on the Peer Evaluation of Teaching Form, yet, several substantive suggestions for improvement were noted. Overall rating of "proficient" or "satisfactory."</w:t>
            </w:r>
          </w:p>
        </w:tc>
        <w:tc>
          <w:tcPr>
            <w:tcW w:w="2662" w:type="dxa"/>
            <w:tcBorders>
              <w:right w:val="nil"/>
            </w:tcBorders>
            <w:shd w:val="clear" w:color="auto" w:fill="B4C5E7"/>
          </w:tcPr>
          <w:p w:rsidR="00C90313" w:rsidRDefault="00EB0BCC">
            <w:pPr>
              <w:pStyle w:val="TableParagraph"/>
              <w:spacing w:before="112"/>
              <w:ind w:left="105" w:right="235"/>
              <w:rPr>
                <w:sz w:val="16"/>
              </w:rPr>
            </w:pPr>
            <w:r>
              <w:rPr>
                <w:sz w:val="16"/>
              </w:rPr>
              <w:t>Mixed feedback across the dimensions explored on the Peer Evaluation of Teaching Form. Several substantial/significant suggestions for improvement noted. Overall rating of "needs improvement."</w:t>
            </w:r>
          </w:p>
        </w:tc>
        <w:tc>
          <w:tcPr>
            <w:tcW w:w="2657" w:type="dxa"/>
            <w:tcBorders>
              <w:left w:val="nil"/>
              <w:right w:val="nil"/>
            </w:tcBorders>
            <w:shd w:val="clear" w:color="auto" w:fill="B4C5E7"/>
          </w:tcPr>
          <w:p w:rsidR="00C90313" w:rsidRDefault="00EB0BCC">
            <w:pPr>
              <w:pStyle w:val="TableParagraph"/>
              <w:spacing w:before="21"/>
              <w:ind w:left="102" w:right="106"/>
              <w:rPr>
                <w:sz w:val="16"/>
              </w:rPr>
            </w:pPr>
            <w:r>
              <w:rPr>
                <w:sz w:val="16"/>
              </w:rPr>
              <w:t>Overall negative feedback across most dimensions explored on the Peer Evaluation of Teaching</w:t>
            </w:r>
            <w:r>
              <w:rPr>
                <w:spacing w:val="-5"/>
                <w:sz w:val="16"/>
              </w:rPr>
              <w:t xml:space="preserve"> </w:t>
            </w:r>
            <w:r>
              <w:rPr>
                <w:sz w:val="16"/>
              </w:rPr>
              <w:t>Form.</w:t>
            </w:r>
          </w:p>
          <w:p w:rsidR="00C90313" w:rsidRDefault="00EB0BCC">
            <w:pPr>
              <w:pStyle w:val="TableParagraph"/>
              <w:ind w:left="102" w:right="118"/>
              <w:rPr>
                <w:sz w:val="16"/>
              </w:rPr>
            </w:pPr>
            <w:r>
              <w:rPr>
                <w:sz w:val="16"/>
              </w:rPr>
              <w:t>Numerous, marked deficiencies noted with need for multiple areas of improvement. Overall rating of "needs improvement"</w:t>
            </w:r>
            <w:r>
              <w:rPr>
                <w:spacing w:val="-1"/>
                <w:sz w:val="16"/>
              </w:rPr>
              <w:t xml:space="preserve"> </w:t>
            </w:r>
            <w:r>
              <w:rPr>
                <w:sz w:val="16"/>
              </w:rPr>
              <w:t>or</w:t>
            </w:r>
          </w:p>
          <w:p w:rsidR="00C90313" w:rsidRDefault="00EB0BCC">
            <w:pPr>
              <w:pStyle w:val="TableParagraph"/>
              <w:spacing w:line="182" w:lineRule="exact"/>
              <w:ind w:left="102"/>
              <w:rPr>
                <w:sz w:val="16"/>
              </w:rPr>
            </w:pPr>
            <w:r>
              <w:rPr>
                <w:sz w:val="16"/>
              </w:rPr>
              <w:t>"unsatisfactory."</w:t>
            </w:r>
          </w:p>
        </w:tc>
      </w:tr>
      <w:tr w:rsidR="00C90313">
        <w:trPr>
          <w:trHeight w:val="2052"/>
          <w:tblCellSpacing w:w="5" w:type="dxa"/>
        </w:trPr>
        <w:tc>
          <w:tcPr>
            <w:tcW w:w="1256" w:type="dxa"/>
            <w:tcBorders>
              <w:left w:val="nil"/>
              <w:right w:val="nil"/>
            </w:tcBorders>
            <w:shd w:val="clear" w:color="auto" w:fill="4471C4"/>
          </w:tcPr>
          <w:p w:rsidR="00C90313" w:rsidRDefault="00C90313">
            <w:pPr>
              <w:pStyle w:val="TableParagraph"/>
              <w:rPr>
                <w:rFonts w:ascii="Calibri"/>
              </w:rPr>
            </w:pPr>
          </w:p>
          <w:p w:rsidR="00C90313" w:rsidRDefault="00C90313">
            <w:pPr>
              <w:pStyle w:val="TableParagraph"/>
              <w:rPr>
                <w:rFonts w:ascii="Calibri"/>
              </w:rPr>
            </w:pPr>
          </w:p>
          <w:p w:rsidR="00C90313" w:rsidRDefault="00EB0BCC">
            <w:pPr>
              <w:pStyle w:val="TableParagraph"/>
              <w:spacing w:before="149"/>
              <w:ind w:left="199" w:right="149" w:hanging="46"/>
              <w:jc w:val="both"/>
              <w:rPr>
                <w:b/>
                <w:i/>
                <w:sz w:val="20"/>
              </w:rPr>
            </w:pPr>
            <w:r>
              <w:rPr>
                <w:b/>
                <w:i/>
                <w:color w:val="FFFFFF"/>
                <w:sz w:val="20"/>
              </w:rPr>
              <w:t>Assessment of Student Learning</w:t>
            </w:r>
          </w:p>
        </w:tc>
        <w:tc>
          <w:tcPr>
            <w:tcW w:w="2662" w:type="dxa"/>
            <w:tcBorders>
              <w:left w:val="nil"/>
            </w:tcBorders>
            <w:shd w:val="clear" w:color="auto" w:fill="D9E1F3"/>
          </w:tcPr>
          <w:p w:rsidR="00C90313" w:rsidRDefault="00EB0BCC">
            <w:pPr>
              <w:pStyle w:val="TableParagraph"/>
              <w:spacing w:before="21"/>
              <w:ind w:left="99" w:right="139"/>
              <w:rPr>
                <w:sz w:val="16"/>
              </w:rPr>
            </w:pPr>
            <w:r>
              <w:rPr>
                <w:sz w:val="16"/>
              </w:rPr>
              <w:t>No evidence of inconsistent grading standards. Strong evidence that the instructor used pedagogical strategies and assessment practices that facilitated student learning (i.e., setting clear goals, employing active learning techniques, providing substantive feedback, incorporating multiple forms of assessment) and accurately reflected student</w:t>
            </w:r>
          </w:p>
          <w:p w:rsidR="00C90313" w:rsidRDefault="00EB0BCC">
            <w:pPr>
              <w:pStyle w:val="TableParagraph"/>
              <w:spacing w:line="182" w:lineRule="exact"/>
              <w:ind w:left="99"/>
              <w:rPr>
                <w:sz w:val="16"/>
              </w:rPr>
            </w:pPr>
            <w:r>
              <w:rPr>
                <w:sz w:val="16"/>
              </w:rPr>
              <w:t>performance.</w:t>
            </w:r>
          </w:p>
        </w:tc>
        <w:tc>
          <w:tcPr>
            <w:tcW w:w="2661" w:type="dxa"/>
            <w:shd w:val="clear" w:color="auto" w:fill="D9E1F3"/>
          </w:tcPr>
          <w:p w:rsidR="00C90313" w:rsidRDefault="00EB0BCC">
            <w:pPr>
              <w:pStyle w:val="TableParagraph"/>
              <w:spacing w:before="21"/>
              <w:ind w:left="104" w:right="133"/>
              <w:rPr>
                <w:sz w:val="16"/>
              </w:rPr>
            </w:pPr>
            <w:r>
              <w:rPr>
                <w:sz w:val="16"/>
              </w:rPr>
              <w:t>No evidence of inconsistent grading standards. Some evidence that the instructor used pedagogical strategies and assessment practices that facilitated student learning (i.e., setting clear goals, employing active learning techniques, providing substantive feedback, incorporating multiple forms of assessment) and accurately reflected student</w:t>
            </w:r>
          </w:p>
          <w:p w:rsidR="00C90313" w:rsidRDefault="00EB0BCC">
            <w:pPr>
              <w:pStyle w:val="TableParagraph"/>
              <w:spacing w:line="182" w:lineRule="exact"/>
              <w:ind w:left="104"/>
              <w:rPr>
                <w:sz w:val="16"/>
              </w:rPr>
            </w:pPr>
            <w:r>
              <w:rPr>
                <w:sz w:val="16"/>
              </w:rPr>
              <w:t>performance.</w:t>
            </w:r>
          </w:p>
        </w:tc>
        <w:tc>
          <w:tcPr>
            <w:tcW w:w="2663" w:type="dxa"/>
            <w:shd w:val="clear" w:color="auto" w:fill="D9E1F3"/>
          </w:tcPr>
          <w:p w:rsidR="00C90313" w:rsidRDefault="00EB0BCC">
            <w:pPr>
              <w:pStyle w:val="TableParagraph"/>
              <w:spacing w:before="21"/>
              <w:ind w:left="104" w:right="117"/>
              <w:rPr>
                <w:sz w:val="16"/>
              </w:rPr>
            </w:pPr>
            <w:r>
              <w:rPr>
                <w:sz w:val="16"/>
              </w:rPr>
              <w:t>No evidence of inconsistent grading standards. Adequate evidence that the instructor used pedagogical strategies and assessment practices that facilitated student learning (i.e., setting clear goals, employing active learning techniques, providing substantive feedback, incorporating multiple forms of assessment) and accurately reflected student</w:t>
            </w:r>
          </w:p>
          <w:p w:rsidR="00C90313" w:rsidRDefault="00EB0BCC">
            <w:pPr>
              <w:pStyle w:val="TableParagraph"/>
              <w:spacing w:line="182" w:lineRule="exact"/>
              <w:ind w:left="104"/>
              <w:rPr>
                <w:sz w:val="16"/>
              </w:rPr>
            </w:pPr>
            <w:r>
              <w:rPr>
                <w:sz w:val="16"/>
              </w:rPr>
              <w:t>performance.</w:t>
            </w:r>
          </w:p>
        </w:tc>
        <w:tc>
          <w:tcPr>
            <w:tcW w:w="2662" w:type="dxa"/>
            <w:tcBorders>
              <w:right w:val="nil"/>
            </w:tcBorders>
            <w:shd w:val="clear" w:color="auto" w:fill="D9E1F3"/>
          </w:tcPr>
          <w:p w:rsidR="00C90313" w:rsidRDefault="00EB0BCC">
            <w:pPr>
              <w:pStyle w:val="TableParagraph"/>
              <w:spacing w:before="112"/>
              <w:ind w:left="105" w:right="217"/>
              <w:rPr>
                <w:sz w:val="16"/>
              </w:rPr>
            </w:pPr>
            <w:r>
              <w:rPr>
                <w:sz w:val="16"/>
              </w:rPr>
              <w:t>Some evidence of inconsistent grading standards. Instructor can improve pedagogical strategies and assessment practices that facilitated student learning (i.e., setting clear goals, employing active learning techniques, providing substantive feedback, incorporating multiple forms of assessment) and accurately reflected student performance.</w:t>
            </w:r>
          </w:p>
        </w:tc>
        <w:tc>
          <w:tcPr>
            <w:tcW w:w="2657" w:type="dxa"/>
            <w:tcBorders>
              <w:left w:val="nil"/>
              <w:right w:val="nil"/>
            </w:tcBorders>
            <w:shd w:val="clear" w:color="auto" w:fill="D9E1F3"/>
          </w:tcPr>
          <w:p w:rsidR="00C90313" w:rsidRDefault="00EB0BCC">
            <w:pPr>
              <w:pStyle w:val="TableParagraph"/>
              <w:spacing w:before="112"/>
              <w:ind w:left="102" w:right="215"/>
              <w:rPr>
                <w:sz w:val="16"/>
              </w:rPr>
            </w:pPr>
            <w:r>
              <w:rPr>
                <w:sz w:val="16"/>
              </w:rPr>
              <w:t>Grading practices do not evidence consistent standards. Instructor can improve pedagogical strategies and assessment practices that facilitated student learning (i.e., setting clear goals, employing active learning techniques, providing substantive feedback, incorporating multiple forms of assessment) and accurately reflected student performance.</w:t>
            </w:r>
          </w:p>
        </w:tc>
      </w:tr>
      <w:tr w:rsidR="00C90313">
        <w:trPr>
          <w:trHeight w:val="578"/>
          <w:tblCellSpacing w:w="5" w:type="dxa"/>
        </w:trPr>
        <w:tc>
          <w:tcPr>
            <w:tcW w:w="1256" w:type="dxa"/>
            <w:vMerge w:val="restart"/>
            <w:tcBorders>
              <w:left w:val="nil"/>
              <w:bottom w:val="nil"/>
              <w:right w:val="nil"/>
            </w:tcBorders>
            <w:shd w:val="clear" w:color="auto" w:fill="4471C4"/>
          </w:tcPr>
          <w:p w:rsidR="00C90313" w:rsidRDefault="00C90313">
            <w:pPr>
              <w:pStyle w:val="TableParagraph"/>
              <w:rPr>
                <w:rFonts w:ascii="Calibri"/>
              </w:rPr>
            </w:pPr>
          </w:p>
          <w:p w:rsidR="00C90313" w:rsidRDefault="00C90313">
            <w:pPr>
              <w:pStyle w:val="TableParagraph"/>
              <w:spacing w:before="4"/>
              <w:rPr>
                <w:rFonts w:ascii="Calibri"/>
                <w:sz w:val="17"/>
              </w:rPr>
            </w:pPr>
          </w:p>
          <w:p w:rsidR="00C90313" w:rsidRDefault="00EB0BCC">
            <w:pPr>
              <w:pStyle w:val="TableParagraph"/>
              <w:ind w:left="184"/>
              <w:rPr>
                <w:b/>
                <w:i/>
                <w:sz w:val="20"/>
              </w:rPr>
            </w:pPr>
            <w:r>
              <w:rPr>
                <w:b/>
                <w:i/>
                <w:color w:val="FFFFFF"/>
                <w:sz w:val="20"/>
              </w:rPr>
              <w:t>Mentoring</w:t>
            </w:r>
          </w:p>
        </w:tc>
        <w:tc>
          <w:tcPr>
            <w:tcW w:w="2662" w:type="dxa"/>
            <w:tcBorders>
              <w:left w:val="nil"/>
            </w:tcBorders>
            <w:shd w:val="clear" w:color="auto" w:fill="B4C5E7"/>
          </w:tcPr>
          <w:p w:rsidR="00C90313" w:rsidRDefault="00EB0BCC">
            <w:pPr>
              <w:pStyle w:val="TableParagraph"/>
              <w:spacing w:before="21" w:line="180" w:lineRule="atLeast"/>
              <w:ind w:left="99" w:right="370"/>
              <w:rPr>
                <w:sz w:val="16"/>
              </w:rPr>
            </w:pPr>
            <w:r>
              <w:rPr>
                <w:sz w:val="16"/>
              </w:rPr>
              <w:t>There are multiple indicators of sustained excellence in mentoring activities.</w:t>
            </w:r>
          </w:p>
        </w:tc>
        <w:tc>
          <w:tcPr>
            <w:tcW w:w="2661" w:type="dxa"/>
            <w:shd w:val="clear" w:color="auto" w:fill="B4C5E7"/>
          </w:tcPr>
          <w:p w:rsidR="00C90313" w:rsidRDefault="00EB0BCC">
            <w:pPr>
              <w:pStyle w:val="TableParagraph"/>
              <w:spacing w:before="21" w:line="180" w:lineRule="atLeast"/>
              <w:ind w:left="104" w:right="381"/>
              <w:rPr>
                <w:sz w:val="16"/>
              </w:rPr>
            </w:pPr>
            <w:r>
              <w:rPr>
                <w:sz w:val="16"/>
              </w:rPr>
              <w:t>There are a few indicators of sustained, high-quality mentoring activities.</w:t>
            </w:r>
          </w:p>
        </w:tc>
        <w:tc>
          <w:tcPr>
            <w:tcW w:w="2663" w:type="dxa"/>
            <w:shd w:val="clear" w:color="auto" w:fill="B4C5E7"/>
          </w:tcPr>
          <w:p w:rsidR="00C90313" w:rsidRDefault="00EB0BCC">
            <w:pPr>
              <w:pStyle w:val="TableParagraph"/>
              <w:spacing w:before="112"/>
              <w:ind w:left="104" w:right="282"/>
              <w:rPr>
                <w:sz w:val="16"/>
              </w:rPr>
            </w:pPr>
            <w:r>
              <w:rPr>
                <w:sz w:val="16"/>
              </w:rPr>
              <w:t>There is more than one indicator of quality mentoring activities.</w:t>
            </w:r>
          </w:p>
        </w:tc>
        <w:tc>
          <w:tcPr>
            <w:tcW w:w="2662" w:type="dxa"/>
            <w:tcBorders>
              <w:right w:val="nil"/>
            </w:tcBorders>
            <w:shd w:val="clear" w:color="auto" w:fill="B4C5E7"/>
          </w:tcPr>
          <w:p w:rsidR="00C90313" w:rsidRDefault="00EB0BCC">
            <w:pPr>
              <w:pStyle w:val="TableParagraph"/>
              <w:spacing w:before="112"/>
              <w:ind w:left="105" w:right="479"/>
              <w:rPr>
                <w:sz w:val="16"/>
              </w:rPr>
            </w:pPr>
            <w:r>
              <w:rPr>
                <w:sz w:val="16"/>
              </w:rPr>
              <w:t>There is one indicator of quality mentoring activities.</w:t>
            </w:r>
          </w:p>
        </w:tc>
        <w:tc>
          <w:tcPr>
            <w:tcW w:w="2657" w:type="dxa"/>
            <w:tcBorders>
              <w:left w:val="nil"/>
              <w:right w:val="nil"/>
            </w:tcBorders>
            <w:shd w:val="clear" w:color="auto" w:fill="B4C5E7"/>
          </w:tcPr>
          <w:p w:rsidR="00C90313" w:rsidRDefault="00EB0BCC">
            <w:pPr>
              <w:pStyle w:val="TableParagraph"/>
              <w:spacing w:before="112"/>
              <w:ind w:left="102" w:right="398"/>
              <w:rPr>
                <w:sz w:val="16"/>
              </w:rPr>
            </w:pPr>
            <w:r>
              <w:rPr>
                <w:sz w:val="16"/>
              </w:rPr>
              <w:t>There are no indicators of quality mentoring activities.</w:t>
            </w:r>
          </w:p>
        </w:tc>
      </w:tr>
      <w:tr w:rsidR="00C90313">
        <w:trPr>
          <w:trHeight w:val="575"/>
          <w:tblCellSpacing w:w="5" w:type="dxa"/>
        </w:trPr>
        <w:tc>
          <w:tcPr>
            <w:tcW w:w="1256" w:type="dxa"/>
            <w:vMerge/>
            <w:tcBorders>
              <w:top w:val="nil"/>
              <w:left w:val="nil"/>
              <w:bottom w:val="nil"/>
              <w:right w:val="nil"/>
            </w:tcBorders>
            <w:shd w:val="clear" w:color="auto" w:fill="4471C4"/>
          </w:tcPr>
          <w:p w:rsidR="00C90313" w:rsidRDefault="00C90313">
            <w:pPr>
              <w:rPr>
                <w:sz w:val="2"/>
                <w:szCs w:val="2"/>
              </w:rPr>
            </w:pPr>
          </w:p>
        </w:tc>
        <w:tc>
          <w:tcPr>
            <w:tcW w:w="13305" w:type="dxa"/>
            <w:gridSpan w:val="5"/>
            <w:tcBorders>
              <w:left w:val="nil"/>
              <w:bottom w:val="nil"/>
              <w:right w:val="nil"/>
            </w:tcBorders>
            <w:shd w:val="clear" w:color="auto" w:fill="D9E1F3"/>
          </w:tcPr>
          <w:p w:rsidR="00C90313" w:rsidRDefault="00EB0BCC">
            <w:pPr>
              <w:pStyle w:val="TableParagraph"/>
              <w:spacing w:before="18"/>
              <w:ind w:left="99" w:right="389"/>
              <w:rPr>
                <w:sz w:val="16"/>
              </w:rPr>
            </w:pPr>
            <w:r>
              <w:rPr>
                <w:i/>
                <w:sz w:val="16"/>
              </w:rPr>
              <w:t>E.g.</w:t>
            </w:r>
            <w:r>
              <w:rPr>
                <w:sz w:val="16"/>
              </w:rPr>
              <w:t xml:space="preserve">, Chairing a Barrett College honor’s thesis; serving as a committee member on a completed doctoral dissertation, master’s thesis or capstone project, or Barrett College honor’s thesis; supervising Barrett students’ honors contracts; offering honors-only courses; actively participating in </w:t>
            </w:r>
            <w:proofErr w:type="spellStart"/>
            <w:r>
              <w:rPr>
                <w:sz w:val="16"/>
              </w:rPr>
              <w:t>CoPSCS</w:t>
            </w:r>
            <w:proofErr w:type="spellEnd"/>
            <w:r>
              <w:rPr>
                <w:sz w:val="16"/>
              </w:rPr>
              <w:t xml:space="preserve"> Undergraduate Research Program; supervising independent studies and/or directed research projects;</w:t>
            </w:r>
          </w:p>
          <w:p w:rsidR="00C90313" w:rsidRDefault="00EB0BCC">
            <w:pPr>
              <w:pStyle w:val="TableParagraph"/>
              <w:spacing w:line="180" w:lineRule="exact"/>
              <w:ind w:left="99"/>
              <w:rPr>
                <w:sz w:val="16"/>
              </w:rPr>
            </w:pPr>
            <w:r>
              <w:rPr>
                <w:sz w:val="16"/>
              </w:rPr>
              <w:t>assisting students with their own research at levels not warranting co-authorship.</w:t>
            </w:r>
          </w:p>
        </w:tc>
      </w:tr>
      <w:tr w:rsidR="00C90313">
        <w:trPr>
          <w:trHeight w:val="577"/>
          <w:tblCellSpacing w:w="5" w:type="dxa"/>
        </w:trPr>
        <w:tc>
          <w:tcPr>
            <w:tcW w:w="1256" w:type="dxa"/>
            <w:vMerge w:val="restart"/>
            <w:tcBorders>
              <w:top w:val="nil"/>
              <w:left w:val="nil"/>
              <w:right w:val="nil"/>
            </w:tcBorders>
            <w:shd w:val="clear" w:color="auto" w:fill="4471C4"/>
          </w:tcPr>
          <w:p w:rsidR="00C90313" w:rsidRDefault="00C90313">
            <w:pPr>
              <w:pStyle w:val="TableParagraph"/>
              <w:rPr>
                <w:rFonts w:ascii="Calibri"/>
              </w:rPr>
            </w:pPr>
          </w:p>
          <w:p w:rsidR="00C90313" w:rsidRDefault="00EB0BCC">
            <w:pPr>
              <w:pStyle w:val="TableParagraph"/>
              <w:spacing w:before="141"/>
              <w:ind w:left="103" w:right="96" w:hanging="5"/>
              <w:jc w:val="center"/>
              <w:rPr>
                <w:b/>
                <w:i/>
                <w:sz w:val="20"/>
              </w:rPr>
            </w:pPr>
            <w:r>
              <w:rPr>
                <w:b/>
                <w:i/>
                <w:color w:val="FFFFFF"/>
                <w:sz w:val="20"/>
              </w:rPr>
              <w:t>Other Indicia of Engagement in IRA</w:t>
            </w:r>
          </w:p>
        </w:tc>
        <w:tc>
          <w:tcPr>
            <w:tcW w:w="2662" w:type="dxa"/>
            <w:tcBorders>
              <w:top w:val="nil"/>
              <w:left w:val="nil"/>
            </w:tcBorders>
            <w:shd w:val="clear" w:color="auto" w:fill="B4C5E7"/>
          </w:tcPr>
          <w:p w:rsidR="00C90313" w:rsidRDefault="00EB0BCC">
            <w:pPr>
              <w:pStyle w:val="TableParagraph"/>
              <w:spacing w:before="110"/>
              <w:ind w:left="99" w:right="517"/>
              <w:rPr>
                <w:sz w:val="16"/>
              </w:rPr>
            </w:pPr>
            <w:r>
              <w:rPr>
                <w:sz w:val="16"/>
              </w:rPr>
              <w:t>There are multiple indicators of sustained excellence in IRA.</w:t>
            </w:r>
          </w:p>
        </w:tc>
        <w:tc>
          <w:tcPr>
            <w:tcW w:w="2661" w:type="dxa"/>
            <w:tcBorders>
              <w:top w:val="nil"/>
            </w:tcBorders>
            <w:shd w:val="clear" w:color="auto" w:fill="B4C5E7"/>
          </w:tcPr>
          <w:p w:rsidR="00C90313" w:rsidRDefault="00EB0BCC">
            <w:pPr>
              <w:pStyle w:val="TableParagraph"/>
              <w:spacing w:before="19"/>
              <w:ind w:left="104" w:right="230"/>
              <w:rPr>
                <w:sz w:val="16"/>
              </w:rPr>
            </w:pPr>
            <w:r>
              <w:rPr>
                <w:sz w:val="16"/>
              </w:rPr>
              <w:t>There are a few indicators of sustained, high-quality participation</w:t>
            </w:r>
          </w:p>
          <w:p w:rsidR="00C90313" w:rsidRDefault="00EB0BCC">
            <w:pPr>
              <w:pStyle w:val="TableParagraph"/>
              <w:spacing w:line="181" w:lineRule="exact"/>
              <w:ind w:left="104"/>
              <w:rPr>
                <w:sz w:val="16"/>
              </w:rPr>
            </w:pPr>
            <w:r>
              <w:rPr>
                <w:sz w:val="16"/>
              </w:rPr>
              <w:t>in IRA.</w:t>
            </w:r>
          </w:p>
        </w:tc>
        <w:tc>
          <w:tcPr>
            <w:tcW w:w="2663" w:type="dxa"/>
            <w:tcBorders>
              <w:top w:val="nil"/>
            </w:tcBorders>
            <w:shd w:val="clear" w:color="auto" w:fill="B4C5E7"/>
          </w:tcPr>
          <w:p w:rsidR="00C90313" w:rsidRDefault="00EB0BCC">
            <w:pPr>
              <w:pStyle w:val="TableParagraph"/>
              <w:spacing w:before="110"/>
              <w:ind w:left="104" w:right="211"/>
              <w:rPr>
                <w:sz w:val="16"/>
              </w:rPr>
            </w:pPr>
            <w:r>
              <w:rPr>
                <w:sz w:val="16"/>
              </w:rPr>
              <w:t>There are a few indicators of quality participation in IRA.</w:t>
            </w:r>
          </w:p>
        </w:tc>
        <w:tc>
          <w:tcPr>
            <w:tcW w:w="2662" w:type="dxa"/>
            <w:tcBorders>
              <w:top w:val="nil"/>
              <w:right w:val="nil"/>
            </w:tcBorders>
            <w:shd w:val="clear" w:color="auto" w:fill="B4C5E7"/>
          </w:tcPr>
          <w:p w:rsidR="00C90313" w:rsidRDefault="00EB0BCC">
            <w:pPr>
              <w:pStyle w:val="TableParagraph"/>
              <w:spacing w:before="110"/>
              <w:ind w:left="105" w:right="479"/>
              <w:rPr>
                <w:sz w:val="16"/>
              </w:rPr>
            </w:pPr>
            <w:r>
              <w:rPr>
                <w:sz w:val="16"/>
              </w:rPr>
              <w:t>There is one indicator of quality participation in IRA.</w:t>
            </w:r>
          </w:p>
        </w:tc>
        <w:tc>
          <w:tcPr>
            <w:tcW w:w="2657" w:type="dxa"/>
            <w:tcBorders>
              <w:top w:val="nil"/>
              <w:left w:val="nil"/>
              <w:right w:val="nil"/>
            </w:tcBorders>
            <w:shd w:val="clear" w:color="auto" w:fill="B4C5E7"/>
          </w:tcPr>
          <w:p w:rsidR="00C90313" w:rsidRDefault="00EB0BCC">
            <w:pPr>
              <w:pStyle w:val="TableParagraph"/>
              <w:spacing w:before="110"/>
              <w:ind w:left="102" w:right="882"/>
              <w:rPr>
                <w:sz w:val="16"/>
              </w:rPr>
            </w:pPr>
            <w:r>
              <w:rPr>
                <w:sz w:val="16"/>
              </w:rPr>
              <w:t>There are no indicators of participation in IRA.</w:t>
            </w:r>
          </w:p>
        </w:tc>
      </w:tr>
      <w:tr w:rsidR="00C90313">
        <w:trPr>
          <w:trHeight w:val="1133"/>
          <w:tblCellSpacing w:w="5" w:type="dxa"/>
        </w:trPr>
        <w:tc>
          <w:tcPr>
            <w:tcW w:w="1256" w:type="dxa"/>
            <w:vMerge/>
            <w:tcBorders>
              <w:top w:val="nil"/>
              <w:left w:val="nil"/>
              <w:right w:val="nil"/>
            </w:tcBorders>
            <w:shd w:val="clear" w:color="auto" w:fill="4471C4"/>
          </w:tcPr>
          <w:p w:rsidR="00C90313" w:rsidRDefault="00C90313">
            <w:pPr>
              <w:rPr>
                <w:sz w:val="2"/>
                <w:szCs w:val="2"/>
              </w:rPr>
            </w:pPr>
          </w:p>
        </w:tc>
        <w:tc>
          <w:tcPr>
            <w:tcW w:w="13305" w:type="dxa"/>
            <w:gridSpan w:val="5"/>
            <w:tcBorders>
              <w:left w:val="nil"/>
              <w:right w:val="nil"/>
            </w:tcBorders>
            <w:shd w:val="clear" w:color="auto" w:fill="D9E1F3"/>
          </w:tcPr>
          <w:p w:rsidR="00C90313" w:rsidRDefault="00EB0BCC">
            <w:pPr>
              <w:pStyle w:val="TableParagraph"/>
              <w:spacing w:before="21"/>
              <w:ind w:left="99" w:right="167"/>
              <w:rPr>
                <w:sz w:val="16"/>
              </w:rPr>
            </w:pPr>
            <w:r>
              <w:rPr>
                <w:i/>
                <w:sz w:val="16"/>
              </w:rPr>
              <w:t>E.g.</w:t>
            </w:r>
            <w:r>
              <w:rPr>
                <w:sz w:val="16"/>
              </w:rPr>
              <w:t>, Designing instruction aimed at enhancing student learning outcomes, such as experiential learning activities, critical incident projects, service learning activities, etc.; meaningfully assessing student learning outcomes through measurements, such as pre-/post-tests, portfolios, recursive writing assignments assessed by rubrics, etc.; employing strategies that enhance student success, such as self- reflection assignments, peer-group mentoring activities, student peer-review assignments, etc.; teaching awards from the University of a professional organization; organizing or facilitating workshops related to teaching and IRA; attending and participating in workshops related to teaching and IRA; organizing or facilitating professional development experiences for students; developing new courses as</w:t>
            </w:r>
          </w:p>
          <w:p w:rsidR="00C90313" w:rsidRDefault="00EB0BCC">
            <w:pPr>
              <w:pStyle w:val="TableParagraph"/>
              <w:spacing w:line="180" w:lineRule="atLeast"/>
              <w:ind w:left="99" w:right="243"/>
              <w:rPr>
                <w:sz w:val="16"/>
              </w:rPr>
            </w:pPr>
            <w:r>
              <w:rPr>
                <w:sz w:val="16"/>
              </w:rPr>
              <w:t>the request of the School; designing, redesigning, or refreshing online courses; conducting peer evaluations of teaching for other nontenure-track faculty; directing or co-directing study abroad programs; presents or publishes innovations relating to teaching, pedagogy, or professional training.</w:t>
            </w:r>
          </w:p>
        </w:tc>
      </w:tr>
      <w:tr w:rsidR="00C90313">
        <w:trPr>
          <w:trHeight w:val="396"/>
          <w:tblCellSpacing w:w="5" w:type="dxa"/>
        </w:trPr>
        <w:tc>
          <w:tcPr>
            <w:tcW w:w="1256" w:type="dxa"/>
            <w:tcBorders>
              <w:left w:val="nil"/>
              <w:bottom w:val="nil"/>
              <w:right w:val="nil"/>
            </w:tcBorders>
            <w:shd w:val="clear" w:color="auto" w:fill="4471C4"/>
          </w:tcPr>
          <w:p w:rsidR="00C90313" w:rsidRDefault="00EB0BCC">
            <w:pPr>
              <w:pStyle w:val="TableParagraph"/>
              <w:spacing w:before="89"/>
              <w:ind w:left="169" w:right="169"/>
              <w:jc w:val="center"/>
              <w:rPr>
                <w:b/>
                <w:sz w:val="20"/>
              </w:rPr>
            </w:pPr>
            <w:r>
              <w:rPr>
                <w:b/>
                <w:color w:val="FFFFFF"/>
                <w:sz w:val="20"/>
              </w:rPr>
              <w:t>Scoring</w:t>
            </w:r>
          </w:p>
        </w:tc>
        <w:tc>
          <w:tcPr>
            <w:tcW w:w="13305" w:type="dxa"/>
            <w:gridSpan w:val="5"/>
            <w:tcBorders>
              <w:left w:val="nil"/>
              <w:bottom w:val="nil"/>
              <w:right w:val="nil"/>
            </w:tcBorders>
            <w:shd w:val="clear" w:color="auto" w:fill="B4C5E7"/>
          </w:tcPr>
          <w:p w:rsidR="00C90313" w:rsidRDefault="00EB0BCC">
            <w:pPr>
              <w:pStyle w:val="TableParagraph"/>
              <w:tabs>
                <w:tab w:val="left" w:pos="4678"/>
                <w:tab w:val="left" w:pos="6889"/>
                <w:tab w:val="left" w:pos="8250"/>
              </w:tabs>
              <w:spacing w:before="21" w:line="180" w:lineRule="atLeast"/>
              <w:ind w:left="2540" w:right="3216" w:hanging="1241"/>
              <w:rPr>
                <w:sz w:val="16"/>
              </w:rPr>
            </w:pPr>
            <w:r>
              <w:rPr>
                <w:sz w:val="16"/>
              </w:rPr>
              <w:t>0–7 =</w:t>
            </w:r>
            <w:r>
              <w:rPr>
                <w:spacing w:val="-3"/>
                <w:sz w:val="16"/>
              </w:rPr>
              <w:t xml:space="preserve"> </w:t>
            </w:r>
            <w:r>
              <w:rPr>
                <w:sz w:val="16"/>
              </w:rPr>
              <w:t>Unacceptable</w:t>
            </w:r>
            <w:r>
              <w:rPr>
                <w:spacing w:val="-3"/>
                <w:sz w:val="16"/>
              </w:rPr>
              <w:t xml:space="preserve"> </w:t>
            </w:r>
            <w:r>
              <w:rPr>
                <w:sz w:val="16"/>
              </w:rPr>
              <w:t>Performance</w:t>
            </w:r>
            <w:r>
              <w:rPr>
                <w:sz w:val="16"/>
              </w:rPr>
              <w:tab/>
              <w:t>8–12 = Partially</w:t>
            </w:r>
            <w:r>
              <w:rPr>
                <w:spacing w:val="-7"/>
                <w:sz w:val="16"/>
              </w:rPr>
              <w:t xml:space="preserve"> </w:t>
            </w:r>
            <w:r>
              <w:rPr>
                <w:sz w:val="16"/>
              </w:rPr>
              <w:t>Meets</w:t>
            </w:r>
            <w:r>
              <w:rPr>
                <w:spacing w:val="-1"/>
                <w:sz w:val="16"/>
              </w:rPr>
              <w:t xml:space="preserve"> </w:t>
            </w:r>
            <w:r>
              <w:rPr>
                <w:sz w:val="16"/>
              </w:rPr>
              <w:t>Expectations</w:t>
            </w:r>
            <w:r>
              <w:rPr>
                <w:sz w:val="16"/>
              </w:rPr>
              <w:tab/>
              <w:t>13–17 = Meets Expectations 18–22 =</w:t>
            </w:r>
            <w:r>
              <w:rPr>
                <w:spacing w:val="-6"/>
                <w:sz w:val="16"/>
              </w:rPr>
              <w:t xml:space="preserve"> </w:t>
            </w:r>
            <w:r>
              <w:rPr>
                <w:sz w:val="16"/>
              </w:rPr>
              <w:t>Exceeds</w:t>
            </w:r>
            <w:r>
              <w:rPr>
                <w:spacing w:val="-1"/>
                <w:sz w:val="16"/>
              </w:rPr>
              <w:t xml:space="preserve"> </w:t>
            </w:r>
            <w:r>
              <w:rPr>
                <w:sz w:val="16"/>
              </w:rPr>
              <w:t>Expectation</w:t>
            </w:r>
            <w:r>
              <w:rPr>
                <w:sz w:val="16"/>
              </w:rPr>
              <w:tab/>
            </w:r>
            <w:r>
              <w:rPr>
                <w:sz w:val="16"/>
              </w:rPr>
              <w:tab/>
              <w:t>23–25 = Extraordinary</w:t>
            </w:r>
            <w:r>
              <w:rPr>
                <w:spacing w:val="-7"/>
                <w:sz w:val="16"/>
              </w:rPr>
              <w:t xml:space="preserve"> </w:t>
            </w:r>
            <w:r>
              <w:rPr>
                <w:sz w:val="16"/>
              </w:rPr>
              <w:t>Performance</w:t>
            </w:r>
          </w:p>
        </w:tc>
      </w:tr>
    </w:tbl>
    <w:p w:rsidR="00C90313" w:rsidRDefault="00C90313">
      <w:pPr>
        <w:spacing w:line="180" w:lineRule="atLeast"/>
        <w:rPr>
          <w:sz w:val="16"/>
        </w:rPr>
        <w:sectPr w:rsidR="00C90313" w:rsidSect="00B00F2A">
          <w:pgSz w:w="15840" w:h="12240" w:orient="landscape"/>
          <w:pgMar w:top="1080" w:right="80" w:bottom="280" w:left="980" w:header="720" w:footer="720" w:gutter="0"/>
          <w:cols w:space="720"/>
          <w:titlePg/>
          <w:docGrid w:linePitch="299"/>
        </w:sectPr>
      </w:pPr>
    </w:p>
    <w:tbl>
      <w:tblPr>
        <w:tblW w:w="0" w:type="auto"/>
        <w:tblInd w:w="11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429"/>
        <w:gridCol w:w="2399"/>
        <w:gridCol w:w="2398"/>
        <w:gridCol w:w="2398"/>
        <w:gridCol w:w="2398"/>
        <w:gridCol w:w="2396"/>
      </w:tblGrid>
      <w:tr w:rsidR="00C90313">
        <w:trPr>
          <w:trHeight w:val="1548"/>
        </w:trPr>
        <w:tc>
          <w:tcPr>
            <w:tcW w:w="13418" w:type="dxa"/>
            <w:gridSpan w:val="6"/>
            <w:tcBorders>
              <w:top w:val="nil"/>
              <w:left w:val="nil"/>
              <w:right w:val="nil"/>
            </w:tcBorders>
            <w:shd w:val="clear" w:color="auto" w:fill="4471C4"/>
          </w:tcPr>
          <w:p w:rsidR="00C90313" w:rsidRDefault="00EB0BCC">
            <w:pPr>
              <w:pStyle w:val="TableParagraph"/>
              <w:tabs>
                <w:tab w:val="left" w:pos="10461"/>
                <w:tab w:val="left" w:pos="10821"/>
              </w:tabs>
              <w:spacing w:before="119"/>
              <w:ind w:left="103"/>
              <w:rPr>
                <w:b/>
                <w:sz w:val="24"/>
              </w:rPr>
            </w:pPr>
            <w:r>
              <w:rPr>
                <w:b/>
                <w:color w:val="FFFF00"/>
                <w:sz w:val="24"/>
              </w:rPr>
              <w:lastRenderedPageBreak/>
              <w:t>II. Service for Full-Time,</w:t>
            </w:r>
            <w:r>
              <w:rPr>
                <w:b/>
                <w:color w:val="FFFF00"/>
                <w:spacing w:val="-8"/>
                <w:sz w:val="24"/>
              </w:rPr>
              <w:t xml:space="preserve"> </w:t>
            </w:r>
            <w:r>
              <w:rPr>
                <w:b/>
                <w:color w:val="FFFF00"/>
                <w:sz w:val="24"/>
              </w:rPr>
              <w:t>Nontenure-Track</w:t>
            </w:r>
            <w:r>
              <w:rPr>
                <w:b/>
                <w:color w:val="FFFF00"/>
                <w:spacing w:val="-1"/>
                <w:sz w:val="24"/>
              </w:rPr>
              <w:t xml:space="preserve"> </w:t>
            </w:r>
            <w:r>
              <w:rPr>
                <w:b/>
                <w:color w:val="FFFF00"/>
                <w:sz w:val="24"/>
              </w:rPr>
              <w:t>Faculty</w:t>
            </w:r>
            <w:r>
              <w:rPr>
                <w:b/>
                <w:color w:val="FFFF00"/>
                <w:sz w:val="24"/>
              </w:rPr>
              <w:tab/>
            </w:r>
            <w:r>
              <w:rPr>
                <w:b/>
                <w:color w:val="FFFF00"/>
                <w:sz w:val="24"/>
                <w:u w:val="single" w:color="FEFE00"/>
              </w:rPr>
              <w:t xml:space="preserve"> </w:t>
            </w:r>
            <w:r>
              <w:rPr>
                <w:b/>
                <w:color w:val="FFFF00"/>
                <w:sz w:val="24"/>
                <w:u w:val="single" w:color="FEFE00"/>
              </w:rPr>
              <w:tab/>
            </w:r>
            <w:r>
              <w:rPr>
                <w:b/>
                <w:color w:val="FFFF00"/>
                <w:sz w:val="24"/>
              </w:rPr>
              <w:t>out of 5 possible</w:t>
            </w:r>
            <w:r>
              <w:rPr>
                <w:b/>
                <w:color w:val="FFFF00"/>
                <w:spacing w:val="-4"/>
                <w:sz w:val="24"/>
              </w:rPr>
              <w:t xml:space="preserve"> </w:t>
            </w:r>
            <w:r>
              <w:rPr>
                <w:b/>
                <w:color w:val="FFFF00"/>
                <w:sz w:val="24"/>
              </w:rPr>
              <w:t>points</w:t>
            </w:r>
          </w:p>
          <w:p w:rsidR="00C90313" w:rsidRDefault="00EB0BCC">
            <w:pPr>
              <w:pStyle w:val="TableParagraph"/>
              <w:spacing w:before="121" w:line="207" w:lineRule="exact"/>
              <w:ind w:left="1327" w:right="1330"/>
              <w:jc w:val="center"/>
              <w:rPr>
                <w:b/>
                <w:sz w:val="18"/>
              </w:rPr>
            </w:pPr>
            <w:r>
              <w:rPr>
                <w:b/>
                <w:color w:val="FFFFFF"/>
                <w:sz w:val="18"/>
              </w:rPr>
              <w:t>Instructors with teaching loads of 15 credit hours per semester are not expected to engage in any</w:t>
            </w:r>
            <w:r>
              <w:rPr>
                <w:b/>
                <w:color w:val="FFFFFF"/>
                <w:spacing w:val="-9"/>
                <w:sz w:val="18"/>
              </w:rPr>
              <w:t xml:space="preserve"> </w:t>
            </w:r>
            <w:r>
              <w:rPr>
                <w:b/>
                <w:color w:val="FFFFFF"/>
                <w:sz w:val="18"/>
              </w:rPr>
              <w:t>service.</w:t>
            </w:r>
          </w:p>
          <w:p w:rsidR="00C90313" w:rsidRDefault="00EB0BCC">
            <w:pPr>
              <w:pStyle w:val="TableParagraph"/>
              <w:spacing w:line="207" w:lineRule="exact"/>
              <w:ind w:left="1326" w:right="1330"/>
              <w:jc w:val="center"/>
              <w:rPr>
                <w:b/>
                <w:sz w:val="18"/>
              </w:rPr>
            </w:pPr>
            <w:r>
              <w:rPr>
                <w:b/>
                <w:color w:val="FFFFFF"/>
                <w:sz w:val="18"/>
              </w:rPr>
              <w:t>For Lecturers (any rank), Clinical Faculty (any rank), and Professors of</w:t>
            </w:r>
            <w:r>
              <w:rPr>
                <w:b/>
                <w:color w:val="FFFFFF"/>
                <w:spacing w:val="-3"/>
                <w:sz w:val="18"/>
              </w:rPr>
              <w:t xml:space="preserve"> </w:t>
            </w:r>
            <w:r>
              <w:rPr>
                <w:b/>
                <w:color w:val="FFFFFF"/>
                <w:sz w:val="18"/>
              </w:rPr>
              <w:t>Practice,</w:t>
            </w:r>
          </w:p>
          <w:p w:rsidR="00C90313" w:rsidRDefault="00EB0BCC">
            <w:pPr>
              <w:pStyle w:val="TableParagraph"/>
              <w:spacing w:before="1" w:line="207" w:lineRule="exact"/>
              <w:ind w:left="1328" w:right="1330"/>
              <w:jc w:val="center"/>
              <w:rPr>
                <w:b/>
                <w:sz w:val="18"/>
              </w:rPr>
            </w:pPr>
            <w:r>
              <w:rPr>
                <w:b/>
                <w:color w:val="FFFFFF"/>
                <w:sz w:val="18"/>
              </w:rPr>
              <w:t>service in any single category suffices when the faculty member carries a teaching load of 12 credit hours per</w:t>
            </w:r>
            <w:r>
              <w:rPr>
                <w:b/>
                <w:color w:val="FFFFFF"/>
                <w:spacing w:val="-17"/>
                <w:sz w:val="18"/>
              </w:rPr>
              <w:t xml:space="preserve"> </w:t>
            </w:r>
            <w:r>
              <w:rPr>
                <w:b/>
                <w:color w:val="FFFFFF"/>
                <w:sz w:val="18"/>
              </w:rPr>
              <w:t>semester.</w:t>
            </w:r>
          </w:p>
          <w:p w:rsidR="00C90313" w:rsidRDefault="00EB0BCC">
            <w:pPr>
              <w:pStyle w:val="TableParagraph"/>
              <w:spacing w:line="207" w:lineRule="exact"/>
              <w:ind w:left="1329" w:right="1330"/>
              <w:jc w:val="center"/>
              <w:rPr>
                <w:b/>
                <w:sz w:val="18"/>
              </w:rPr>
            </w:pPr>
            <w:r>
              <w:rPr>
                <w:b/>
                <w:color w:val="FFFFFF"/>
                <w:sz w:val="18"/>
              </w:rPr>
              <w:t xml:space="preserve">When any nontenure-track faculty member’s teaching load is reduced to allow more service, indicators </w:t>
            </w:r>
            <w:r>
              <w:rPr>
                <w:b/>
                <w:color w:val="FFFFFF"/>
                <w:spacing w:val="-2"/>
                <w:sz w:val="18"/>
              </w:rPr>
              <w:t xml:space="preserve">may </w:t>
            </w:r>
            <w:r>
              <w:rPr>
                <w:b/>
                <w:color w:val="FFFFFF"/>
                <w:sz w:val="18"/>
              </w:rPr>
              <w:t>be reviewed more</w:t>
            </w:r>
            <w:r>
              <w:rPr>
                <w:b/>
                <w:color w:val="FFFFFF"/>
                <w:spacing w:val="-12"/>
                <w:sz w:val="18"/>
              </w:rPr>
              <w:t xml:space="preserve"> </w:t>
            </w:r>
            <w:r>
              <w:rPr>
                <w:b/>
                <w:color w:val="FFFFFF"/>
                <w:sz w:val="18"/>
              </w:rPr>
              <w:t>qualitatively.</w:t>
            </w:r>
          </w:p>
        </w:tc>
      </w:tr>
      <w:tr w:rsidR="00C90313">
        <w:trPr>
          <w:trHeight w:val="427"/>
        </w:trPr>
        <w:tc>
          <w:tcPr>
            <w:tcW w:w="1429" w:type="dxa"/>
            <w:tcBorders>
              <w:left w:val="nil"/>
              <w:bottom w:val="single" w:sz="4" w:space="0" w:color="FFFFFF"/>
            </w:tcBorders>
            <w:shd w:val="clear" w:color="auto" w:fill="4471C4"/>
          </w:tcPr>
          <w:p w:rsidR="00C90313" w:rsidRDefault="00EB0BCC">
            <w:pPr>
              <w:pStyle w:val="TableParagraph"/>
              <w:spacing w:before="97"/>
              <w:ind w:left="107" w:right="107"/>
              <w:jc w:val="center"/>
              <w:rPr>
                <w:b/>
                <w:sz w:val="20"/>
              </w:rPr>
            </w:pPr>
            <w:r>
              <w:rPr>
                <w:b/>
                <w:color w:val="FFFFFF"/>
                <w:sz w:val="20"/>
              </w:rPr>
              <w:t>Indicators</w:t>
            </w:r>
          </w:p>
        </w:tc>
        <w:tc>
          <w:tcPr>
            <w:tcW w:w="2399" w:type="dxa"/>
            <w:tcBorders>
              <w:bottom w:val="single" w:sz="4" w:space="0" w:color="FFFFFF"/>
              <w:right w:val="single" w:sz="4" w:space="0" w:color="FFFFFF"/>
            </w:tcBorders>
            <w:shd w:val="clear" w:color="auto" w:fill="B4C5E7"/>
          </w:tcPr>
          <w:p w:rsidR="00C90313" w:rsidRDefault="00EB0BCC">
            <w:pPr>
              <w:pStyle w:val="TableParagraph"/>
              <w:spacing w:before="19"/>
              <w:jc w:val="center"/>
              <w:rPr>
                <w:b/>
                <w:sz w:val="17"/>
              </w:rPr>
            </w:pPr>
            <w:r>
              <w:rPr>
                <w:b/>
                <w:sz w:val="17"/>
              </w:rPr>
              <w:t>5</w:t>
            </w:r>
          </w:p>
          <w:p w:rsidR="00C90313" w:rsidRDefault="00EB0BCC">
            <w:pPr>
              <w:pStyle w:val="TableParagraph"/>
              <w:spacing w:before="19" w:line="175" w:lineRule="exact"/>
              <w:ind w:left="151" w:right="151"/>
              <w:jc w:val="center"/>
              <w:rPr>
                <w:b/>
                <w:sz w:val="17"/>
              </w:rPr>
            </w:pPr>
            <w:r>
              <w:rPr>
                <w:b/>
                <w:sz w:val="17"/>
              </w:rPr>
              <w:t>Extraordinary Performance</w:t>
            </w:r>
          </w:p>
        </w:tc>
        <w:tc>
          <w:tcPr>
            <w:tcW w:w="2398" w:type="dxa"/>
            <w:tcBorders>
              <w:left w:val="single" w:sz="4" w:space="0" w:color="FFFFFF"/>
              <w:bottom w:val="single" w:sz="4" w:space="0" w:color="FFFFFF"/>
              <w:right w:val="single" w:sz="4" w:space="0" w:color="FFFFFF"/>
            </w:tcBorders>
            <w:shd w:val="clear" w:color="auto" w:fill="B4C5E7"/>
          </w:tcPr>
          <w:p w:rsidR="00C90313" w:rsidRDefault="00EB0BCC">
            <w:pPr>
              <w:pStyle w:val="TableParagraph"/>
              <w:spacing w:before="19"/>
              <w:jc w:val="center"/>
              <w:rPr>
                <w:b/>
                <w:sz w:val="17"/>
              </w:rPr>
            </w:pPr>
            <w:r>
              <w:rPr>
                <w:b/>
                <w:sz w:val="17"/>
              </w:rPr>
              <w:t>4</w:t>
            </w:r>
          </w:p>
          <w:p w:rsidR="00C90313" w:rsidRDefault="00EB0BCC">
            <w:pPr>
              <w:pStyle w:val="TableParagraph"/>
              <w:spacing w:before="19" w:line="175" w:lineRule="exact"/>
              <w:ind w:left="128" w:right="128"/>
              <w:jc w:val="center"/>
              <w:rPr>
                <w:b/>
                <w:sz w:val="17"/>
              </w:rPr>
            </w:pPr>
            <w:r>
              <w:rPr>
                <w:b/>
                <w:sz w:val="17"/>
              </w:rPr>
              <w:t>Exceeds Expectations</w:t>
            </w:r>
          </w:p>
        </w:tc>
        <w:tc>
          <w:tcPr>
            <w:tcW w:w="2398" w:type="dxa"/>
            <w:tcBorders>
              <w:left w:val="single" w:sz="4" w:space="0" w:color="FFFFFF"/>
              <w:bottom w:val="single" w:sz="4" w:space="0" w:color="FFFFFF"/>
              <w:right w:val="single" w:sz="4" w:space="0" w:color="FFFFFF"/>
            </w:tcBorders>
            <w:shd w:val="clear" w:color="auto" w:fill="B4C5E7"/>
          </w:tcPr>
          <w:p w:rsidR="00C90313" w:rsidRDefault="00EB0BCC">
            <w:pPr>
              <w:pStyle w:val="TableParagraph"/>
              <w:spacing w:before="17" w:line="195" w:lineRule="exact"/>
              <w:jc w:val="center"/>
              <w:rPr>
                <w:b/>
                <w:sz w:val="17"/>
              </w:rPr>
            </w:pPr>
            <w:r>
              <w:rPr>
                <w:b/>
                <w:sz w:val="17"/>
              </w:rPr>
              <w:t>3</w:t>
            </w:r>
          </w:p>
          <w:p w:rsidR="00C90313" w:rsidRDefault="00EB0BCC">
            <w:pPr>
              <w:pStyle w:val="TableParagraph"/>
              <w:spacing w:line="195" w:lineRule="exact"/>
              <w:ind w:left="128" w:right="129"/>
              <w:jc w:val="center"/>
              <w:rPr>
                <w:b/>
                <w:sz w:val="17"/>
              </w:rPr>
            </w:pPr>
            <w:r>
              <w:rPr>
                <w:b/>
                <w:sz w:val="17"/>
              </w:rPr>
              <w:t>Meets Expectations</w:t>
            </w:r>
          </w:p>
        </w:tc>
        <w:tc>
          <w:tcPr>
            <w:tcW w:w="2398" w:type="dxa"/>
            <w:tcBorders>
              <w:left w:val="single" w:sz="4" w:space="0" w:color="FFFFFF"/>
              <w:bottom w:val="single" w:sz="4" w:space="0" w:color="FFFFFF"/>
              <w:right w:val="single" w:sz="4" w:space="0" w:color="FFFFFF"/>
            </w:tcBorders>
            <w:shd w:val="clear" w:color="auto" w:fill="B4C5E7"/>
          </w:tcPr>
          <w:p w:rsidR="00C90313" w:rsidRDefault="00EB0BCC">
            <w:pPr>
              <w:pStyle w:val="TableParagraph"/>
              <w:spacing w:before="17" w:line="195" w:lineRule="exact"/>
              <w:jc w:val="center"/>
              <w:rPr>
                <w:b/>
                <w:sz w:val="17"/>
              </w:rPr>
            </w:pPr>
            <w:r>
              <w:rPr>
                <w:b/>
                <w:sz w:val="17"/>
              </w:rPr>
              <w:t>2</w:t>
            </w:r>
          </w:p>
          <w:p w:rsidR="00C90313" w:rsidRDefault="00EB0BCC">
            <w:pPr>
              <w:pStyle w:val="TableParagraph"/>
              <w:spacing w:line="195" w:lineRule="exact"/>
              <w:ind w:left="128" w:right="132"/>
              <w:jc w:val="center"/>
              <w:rPr>
                <w:b/>
                <w:sz w:val="17"/>
              </w:rPr>
            </w:pPr>
            <w:r>
              <w:rPr>
                <w:b/>
                <w:sz w:val="17"/>
              </w:rPr>
              <w:t>Partially Meets Expectations</w:t>
            </w:r>
          </w:p>
        </w:tc>
        <w:tc>
          <w:tcPr>
            <w:tcW w:w="2396" w:type="dxa"/>
            <w:tcBorders>
              <w:left w:val="single" w:sz="4" w:space="0" w:color="FFFFFF"/>
              <w:bottom w:val="single" w:sz="4" w:space="0" w:color="FFFFFF"/>
              <w:right w:val="nil"/>
            </w:tcBorders>
            <w:shd w:val="clear" w:color="auto" w:fill="B4C5E7"/>
          </w:tcPr>
          <w:p w:rsidR="00C90313" w:rsidRDefault="00EB0BCC">
            <w:pPr>
              <w:pStyle w:val="TableParagraph"/>
              <w:spacing w:before="17" w:line="195" w:lineRule="exact"/>
              <w:ind w:right="2"/>
              <w:jc w:val="center"/>
              <w:rPr>
                <w:b/>
                <w:sz w:val="17"/>
              </w:rPr>
            </w:pPr>
            <w:r>
              <w:rPr>
                <w:b/>
                <w:sz w:val="17"/>
              </w:rPr>
              <w:t>1</w:t>
            </w:r>
          </w:p>
          <w:p w:rsidR="00C90313" w:rsidRDefault="00EB0BCC">
            <w:pPr>
              <w:pStyle w:val="TableParagraph"/>
              <w:spacing w:line="195" w:lineRule="exact"/>
              <w:ind w:left="190" w:right="191"/>
              <w:jc w:val="center"/>
              <w:rPr>
                <w:b/>
                <w:sz w:val="17"/>
              </w:rPr>
            </w:pPr>
            <w:r>
              <w:rPr>
                <w:b/>
                <w:sz w:val="17"/>
              </w:rPr>
              <w:t>Unacceptable Performance</w:t>
            </w:r>
          </w:p>
        </w:tc>
      </w:tr>
      <w:tr w:rsidR="00C90313">
        <w:trPr>
          <w:trHeight w:val="1785"/>
        </w:trPr>
        <w:tc>
          <w:tcPr>
            <w:tcW w:w="1429" w:type="dxa"/>
            <w:tcBorders>
              <w:top w:val="single" w:sz="4" w:space="0" w:color="FFFFFF"/>
              <w:left w:val="nil"/>
              <w:bottom w:val="nil"/>
            </w:tcBorders>
            <w:shd w:val="clear" w:color="auto" w:fill="4471C4"/>
          </w:tcPr>
          <w:p w:rsidR="00C90313" w:rsidRDefault="00C90313">
            <w:pPr>
              <w:pStyle w:val="TableParagraph"/>
              <w:rPr>
                <w:rFonts w:ascii="Calibri"/>
              </w:rPr>
            </w:pPr>
          </w:p>
          <w:p w:rsidR="00C90313" w:rsidRDefault="00C90313">
            <w:pPr>
              <w:pStyle w:val="TableParagraph"/>
              <w:rPr>
                <w:rFonts w:ascii="Calibri"/>
              </w:rPr>
            </w:pPr>
          </w:p>
          <w:p w:rsidR="00C90313" w:rsidRDefault="00C90313">
            <w:pPr>
              <w:pStyle w:val="TableParagraph"/>
              <w:spacing w:before="4"/>
              <w:rPr>
                <w:rFonts w:ascii="Calibri"/>
                <w:sz w:val="19"/>
              </w:rPr>
            </w:pPr>
          </w:p>
          <w:p w:rsidR="00C90313" w:rsidRDefault="00EB0BCC">
            <w:pPr>
              <w:pStyle w:val="TableParagraph"/>
              <w:ind w:left="107" w:right="107"/>
              <w:jc w:val="center"/>
              <w:rPr>
                <w:b/>
                <w:sz w:val="20"/>
              </w:rPr>
            </w:pPr>
            <w:r>
              <w:rPr>
                <w:b/>
                <w:color w:val="FFFFFF"/>
                <w:sz w:val="20"/>
              </w:rPr>
              <w:t>To the School</w:t>
            </w:r>
          </w:p>
        </w:tc>
        <w:tc>
          <w:tcPr>
            <w:tcW w:w="2399" w:type="dxa"/>
            <w:tcBorders>
              <w:top w:val="single" w:sz="4" w:space="0" w:color="FFFFFF"/>
              <w:bottom w:val="nil"/>
              <w:right w:val="single" w:sz="4" w:space="0" w:color="FFFFFF"/>
            </w:tcBorders>
            <w:shd w:val="clear" w:color="auto" w:fill="D9E1F3"/>
          </w:tcPr>
          <w:p w:rsidR="00C90313" w:rsidRDefault="00EB0BCC">
            <w:pPr>
              <w:pStyle w:val="TableParagraph"/>
              <w:spacing w:before="59"/>
              <w:ind w:left="101" w:right="176"/>
              <w:rPr>
                <w:sz w:val="18"/>
              </w:rPr>
            </w:pPr>
            <w:r>
              <w:rPr>
                <w:sz w:val="18"/>
              </w:rPr>
              <w:t xml:space="preserve">Outstanding service and leadership as the chair or key member of two or more work-intensive SCCJ standing or </w:t>
            </w:r>
            <w:r>
              <w:rPr>
                <w:i/>
                <w:sz w:val="18"/>
              </w:rPr>
              <w:t xml:space="preserve">ad hoc </w:t>
            </w:r>
            <w:r>
              <w:rPr>
                <w:sz w:val="18"/>
              </w:rPr>
              <w:t>committees or as a highly- engaged faculty advisor to SCCJ student groups.</w:t>
            </w:r>
          </w:p>
        </w:tc>
        <w:tc>
          <w:tcPr>
            <w:tcW w:w="2398" w:type="dxa"/>
            <w:tcBorders>
              <w:top w:val="single" w:sz="4" w:space="0" w:color="FFFFFF"/>
              <w:left w:val="single" w:sz="4" w:space="0" w:color="FFFFFF"/>
              <w:bottom w:val="nil"/>
              <w:right w:val="single" w:sz="4" w:space="0" w:color="FFFFFF"/>
            </w:tcBorders>
            <w:shd w:val="clear" w:color="auto" w:fill="D9E1F3"/>
          </w:tcPr>
          <w:p w:rsidR="00C90313" w:rsidRDefault="00EB0BCC">
            <w:pPr>
              <w:pStyle w:val="TableParagraph"/>
              <w:spacing w:before="163"/>
              <w:ind w:left="103" w:right="102"/>
              <w:rPr>
                <w:sz w:val="18"/>
              </w:rPr>
            </w:pPr>
            <w:r>
              <w:rPr>
                <w:sz w:val="18"/>
              </w:rPr>
              <w:t xml:space="preserve">Outstanding service and leadership as a key member of a work-intensive SCCJ standing or </w:t>
            </w:r>
            <w:r>
              <w:rPr>
                <w:i/>
                <w:sz w:val="18"/>
              </w:rPr>
              <w:t xml:space="preserve">ad hoc </w:t>
            </w:r>
            <w:r>
              <w:rPr>
                <w:sz w:val="18"/>
              </w:rPr>
              <w:t>committee or as a highly-engaged faculty advisor to a SCCJ student group.</w:t>
            </w:r>
          </w:p>
        </w:tc>
        <w:tc>
          <w:tcPr>
            <w:tcW w:w="2398" w:type="dxa"/>
            <w:tcBorders>
              <w:top w:val="single" w:sz="4" w:space="0" w:color="FFFFFF"/>
              <w:left w:val="single" w:sz="4" w:space="0" w:color="FFFFFF"/>
              <w:bottom w:val="nil"/>
              <w:right w:val="single" w:sz="4" w:space="0" w:color="FFFFFF"/>
            </w:tcBorders>
            <w:shd w:val="clear" w:color="auto" w:fill="D9E1F3"/>
          </w:tcPr>
          <w:p w:rsidR="00C90313" w:rsidRDefault="00C90313">
            <w:pPr>
              <w:pStyle w:val="TableParagraph"/>
              <w:rPr>
                <w:rFonts w:ascii="Calibri"/>
                <w:sz w:val="20"/>
              </w:rPr>
            </w:pPr>
          </w:p>
          <w:p w:rsidR="00C90313" w:rsidRDefault="00C90313">
            <w:pPr>
              <w:pStyle w:val="TableParagraph"/>
              <w:spacing w:before="11"/>
              <w:rPr>
                <w:rFonts w:ascii="Calibri"/>
                <w:sz w:val="18"/>
              </w:rPr>
            </w:pPr>
          </w:p>
          <w:p w:rsidR="00C90313" w:rsidRDefault="00EB0BCC">
            <w:pPr>
              <w:pStyle w:val="TableParagraph"/>
              <w:ind w:left="102" w:right="231"/>
              <w:rPr>
                <w:sz w:val="18"/>
              </w:rPr>
            </w:pPr>
            <w:r>
              <w:rPr>
                <w:sz w:val="18"/>
              </w:rPr>
              <w:t xml:space="preserve">Ongoing and high-quality service as member of one or more SCCJ standing or </w:t>
            </w:r>
            <w:r>
              <w:rPr>
                <w:i/>
                <w:sz w:val="18"/>
              </w:rPr>
              <w:t xml:space="preserve">ad hoc </w:t>
            </w:r>
            <w:r>
              <w:rPr>
                <w:sz w:val="18"/>
              </w:rPr>
              <w:t>committees.</w:t>
            </w:r>
          </w:p>
        </w:tc>
        <w:tc>
          <w:tcPr>
            <w:tcW w:w="2398" w:type="dxa"/>
            <w:tcBorders>
              <w:top w:val="single" w:sz="4" w:space="0" w:color="FFFFFF"/>
              <w:left w:val="single" w:sz="4" w:space="0" w:color="FFFFFF"/>
              <w:bottom w:val="nil"/>
              <w:right w:val="single" w:sz="4" w:space="0" w:color="FFFFFF"/>
            </w:tcBorders>
            <w:shd w:val="clear" w:color="auto" w:fill="D9E1F3"/>
          </w:tcPr>
          <w:p w:rsidR="00C90313" w:rsidRDefault="00EB0BCC">
            <w:pPr>
              <w:pStyle w:val="TableParagraph"/>
              <w:spacing w:before="163"/>
              <w:ind w:left="102" w:right="106"/>
              <w:rPr>
                <w:sz w:val="18"/>
              </w:rPr>
            </w:pPr>
            <w:r>
              <w:rPr>
                <w:sz w:val="18"/>
              </w:rPr>
              <w:t xml:space="preserve">Service to the SCCJ through a single act of volunteered service, or ongoing service as member of a SCCJ standing or </w:t>
            </w:r>
            <w:r>
              <w:rPr>
                <w:i/>
                <w:sz w:val="18"/>
              </w:rPr>
              <w:t xml:space="preserve">ad hoc </w:t>
            </w:r>
            <w:r>
              <w:rPr>
                <w:sz w:val="18"/>
              </w:rPr>
              <w:t>committee that does not involve high-quality contributions.</w:t>
            </w:r>
          </w:p>
        </w:tc>
        <w:tc>
          <w:tcPr>
            <w:tcW w:w="2396" w:type="dxa"/>
            <w:tcBorders>
              <w:top w:val="single" w:sz="4" w:space="0" w:color="FFFFFF"/>
              <w:left w:val="single" w:sz="4" w:space="0" w:color="FFFFFF"/>
              <w:bottom w:val="nil"/>
              <w:right w:val="nil"/>
            </w:tcBorders>
            <w:shd w:val="clear" w:color="auto" w:fill="D9E1F3"/>
          </w:tcPr>
          <w:p w:rsidR="00C90313" w:rsidRDefault="00C90313">
            <w:pPr>
              <w:pStyle w:val="TableParagraph"/>
              <w:rPr>
                <w:rFonts w:ascii="Calibri"/>
                <w:sz w:val="20"/>
              </w:rPr>
            </w:pPr>
          </w:p>
          <w:p w:rsidR="00C90313" w:rsidRDefault="00C90313">
            <w:pPr>
              <w:pStyle w:val="TableParagraph"/>
              <w:rPr>
                <w:rFonts w:ascii="Calibri"/>
                <w:sz w:val="20"/>
              </w:rPr>
            </w:pPr>
          </w:p>
          <w:p w:rsidR="00C90313" w:rsidRDefault="00C90313">
            <w:pPr>
              <w:pStyle w:val="TableParagraph"/>
              <w:spacing w:before="9"/>
              <w:rPr>
                <w:rFonts w:ascii="Calibri"/>
                <w:sz w:val="15"/>
              </w:rPr>
            </w:pPr>
          </w:p>
          <w:p w:rsidR="00C90313" w:rsidRDefault="00EB0BCC">
            <w:pPr>
              <w:pStyle w:val="TableParagraph"/>
              <w:spacing w:before="1"/>
              <w:ind w:left="101" w:right="180"/>
              <w:rPr>
                <w:sz w:val="18"/>
              </w:rPr>
            </w:pPr>
            <w:r>
              <w:rPr>
                <w:sz w:val="18"/>
              </w:rPr>
              <w:t>No meaningful service to the SCCJ.</w:t>
            </w:r>
          </w:p>
        </w:tc>
      </w:tr>
      <w:tr w:rsidR="00C90313">
        <w:trPr>
          <w:trHeight w:val="1994"/>
        </w:trPr>
        <w:tc>
          <w:tcPr>
            <w:tcW w:w="1429" w:type="dxa"/>
            <w:tcBorders>
              <w:top w:val="nil"/>
              <w:left w:val="nil"/>
              <w:bottom w:val="nil"/>
            </w:tcBorders>
            <w:shd w:val="clear" w:color="auto" w:fill="4471C4"/>
          </w:tcPr>
          <w:p w:rsidR="00C90313" w:rsidRDefault="00C90313">
            <w:pPr>
              <w:pStyle w:val="TableParagraph"/>
              <w:rPr>
                <w:rFonts w:ascii="Calibri"/>
              </w:rPr>
            </w:pPr>
          </w:p>
          <w:p w:rsidR="00C90313" w:rsidRDefault="00EB0BCC">
            <w:pPr>
              <w:pStyle w:val="TableParagraph"/>
              <w:spacing w:before="149"/>
              <w:ind w:left="107" w:right="105"/>
              <w:jc w:val="center"/>
              <w:rPr>
                <w:b/>
                <w:sz w:val="20"/>
              </w:rPr>
            </w:pPr>
            <w:r>
              <w:rPr>
                <w:b/>
                <w:color w:val="FFFFFF"/>
                <w:sz w:val="20"/>
                <w:u w:val="single" w:color="FFFFFF"/>
              </w:rPr>
              <w:t>OR</w:t>
            </w:r>
          </w:p>
          <w:p w:rsidR="00C90313" w:rsidRDefault="00C90313">
            <w:pPr>
              <w:pStyle w:val="TableParagraph"/>
              <w:spacing w:before="9"/>
              <w:rPr>
                <w:rFonts w:ascii="Calibri"/>
                <w:sz w:val="18"/>
              </w:rPr>
            </w:pPr>
          </w:p>
          <w:p w:rsidR="00C90313" w:rsidRDefault="00EB0BCC">
            <w:pPr>
              <w:pStyle w:val="TableParagraph"/>
              <w:ind w:left="266" w:right="266" w:firstLine="3"/>
              <w:jc w:val="center"/>
              <w:rPr>
                <w:b/>
                <w:sz w:val="20"/>
              </w:rPr>
            </w:pPr>
            <w:r>
              <w:rPr>
                <w:b/>
                <w:color w:val="FFFFFF"/>
                <w:sz w:val="20"/>
              </w:rPr>
              <w:t>To the College or University</w:t>
            </w:r>
          </w:p>
        </w:tc>
        <w:tc>
          <w:tcPr>
            <w:tcW w:w="2399" w:type="dxa"/>
            <w:tcBorders>
              <w:top w:val="nil"/>
              <w:bottom w:val="nil"/>
              <w:right w:val="single" w:sz="4" w:space="0" w:color="FFFFFF"/>
            </w:tcBorders>
            <w:shd w:val="clear" w:color="auto" w:fill="B4C5E7"/>
          </w:tcPr>
          <w:p w:rsidR="00C90313" w:rsidRDefault="00EB0BCC">
            <w:pPr>
              <w:pStyle w:val="TableParagraph"/>
              <w:spacing w:before="60"/>
              <w:ind w:left="101" w:right="176"/>
              <w:rPr>
                <w:sz w:val="18"/>
              </w:rPr>
            </w:pPr>
            <w:r>
              <w:rPr>
                <w:sz w:val="18"/>
              </w:rPr>
              <w:t xml:space="preserve">Outstanding service and leadership as the chair or key member of two or more work-intensive </w:t>
            </w:r>
            <w:proofErr w:type="spellStart"/>
            <w:r>
              <w:rPr>
                <w:sz w:val="18"/>
              </w:rPr>
              <w:t>CoPSCS</w:t>
            </w:r>
            <w:proofErr w:type="spellEnd"/>
            <w:r>
              <w:rPr>
                <w:sz w:val="18"/>
              </w:rPr>
              <w:t xml:space="preserve"> standing or </w:t>
            </w:r>
            <w:r>
              <w:rPr>
                <w:i/>
                <w:sz w:val="18"/>
              </w:rPr>
              <w:t xml:space="preserve">ad hoc </w:t>
            </w:r>
            <w:r>
              <w:rPr>
                <w:sz w:val="18"/>
              </w:rPr>
              <w:t>committees or as a highly- engaged faculty advisor to College- or University-wide student groups.</w:t>
            </w:r>
          </w:p>
        </w:tc>
        <w:tc>
          <w:tcPr>
            <w:tcW w:w="2398" w:type="dxa"/>
            <w:tcBorders>
              <w:top w:val="nil"/>
              <w:left w:val="single" w:sz="4" w:space="0" w:color="FFFFFF"/>
              <w:bottom w:val="nil"/>
              <w:right w:val="single" w:sz="4" w:space="0" w:color="FFFFFF"/>
            </w:tcBorders>
            <w:shd w:val="clear" w:color="auto" w:fill="B4C5E7"/>
          </w:tcPr>
          <w:p w:rsidR="00C90313" w:rsidRDefault="00EB0BCC">
            <w:pPr>
              <w:pStyle w:val="TableParagraph"/>
              <w:spacing w:before="165"/>
              <w:ind w:left="103" w:right="102"/>
              <w:rPr>
                <w:sz w:val="18"/>
              </w:rPr>
            </w:pPr>
            <w:r>
              <w:rPr>
                <w:sz w:val="18"/>
              </w:rPr>
              <w:t xml:space="preserve">Outstanding service and leadership as a key member of a work-intensive </w:t>
            </w:r>
            <w:proofErr w:type="spellStart"/>
            <w:r>
              <w:rPr>
                <w:sz w:val="18"/>
              </w:rPr>
              <w:t>CoPSCS</w:t>
            </w:r>
            <w:proofErr w:type="spellEnd"/>
            <w:r>
              <w:rPr>
                <w:sz w:val="18"/>
              </w:rPr>
              <w:t xml:space="preserve"> standing or </w:t>
            </w:r>
            <w:r>
              <w:rPr>
                <w:i/>
                <w:sz w:val="18"/>
              </w:rPr>
              <w:t xml:space="preserve">ad hoc </w:t>
            </w:r>
            <w:r>
              <w:rPr>
                <w:sz w:val="18"/>
              </w:rPr>
              <w:t>committee or as a highly-engaged faculty advisor to a College- or University-wide student group.</w:t>
            </w:r>
          </w:p>
        </w:tc>
        <w:tc>
          <w:tcPr>
            <w:tcW w:w="2398" w:type="dxa"/>
            <w:tcBorders>
              <w:top w:val="nil"/>
              <w:left w:val="single" w:sz="4" w:space="0" w:color="FFFFFF"/>
              <w:bottom w:val="nil"/>
              <w:right w:val="single" w:sz="4" w:space="0" w:color="FFFFFF"/>
            </w:tcBorders>
            <w:shd w:val="clear" w:color="auto" w:fill="B4C5E7"/>
          </w:tcPr>
          <w:p w:rsidR="00C90313" w:rsidRDefault="00C90313">
            <w:pPr>
              <w:pStyle w:val="TableParagraph"/>
              <w:rPr>
                <w:rFonts w:ascii="Calibri"/>
                <w:sz w:val="20"/>
              </w:rPr>
            </w:pPr>
          </w:p>
          <w:p w:rsidR="00C90313" w:rsidRDefault="00EB0BCC">
            <w:pPr>
              <w:pStyle w:val="TableParagraph"/>
              <w:spacing w:before="128"/>
              <w:ind w:left="102" w:right="166"/>
              <w:rPr>
                <w:sz w:val="18"/>
              </w:rPr>
            </w:pPr>
            <w:r>
              <w:rPr>
                <w:sz w:val="18"/>
              </w:rPr>
              <w:t xml:space="preserve">Meaningful service as a member of a standing or </w:t>
            </w:r>
            <w:r>
              <w:rPr>
                <w:i/>
                <w:sz w:val="18"/>
              </w:rPr>
              <w:t xml:space="preserve">ad hoc </w:t>
            </w:r>
            <w:proofErr w:type="spellStart"/>
            <w:r>
              <w:rPr>
                <w:sz w:val="18"/>
              </w:rPr>
              <w:t>CoPSCS</w:t>
            </w:r>
            <w:proofErr w:type="spellEnd"/>
            <w:r>
              <w:rPr>
                <w:sz w:val="18"/>
              </w:rPr>
              <w:t xml:space="preserve"> or University committee and/or as a member of an advisory panel or group.</w:t>
            </w:r>
          </w:p>
        </w:tc>
        <w:tc>
          <w:tcPr>
            <w:tcW w:w="2398" w:type="dxa"/>
            <w:tcBorders>
              <w:top w:val="nil"/>
              <w:left w:val="single" w:sz="4" w:space="0" w:color="FFFFFF"/>
              <w:bottom w:val="nil"/>
              <w:right w:val="single" w:sz="4" w:space="0" w:color="FFFFFF"/>
            </w:tcBorders>
            <w:shd w:val="clear" w:color="auto" w:fill="B4C5E7"/>
          </w:tcPr>
          <w:p w:rsidR="00C90313" w:rsidRDefault="00C90313">
            <w:pPr>
              <w:pStyle w:val="TableParagraph"/>
              <w:rPr>
                <w:rFonts w:ascii="Calibri"/>
                <w:sz w:val="20"/>
              </w:rPr>
            </w:pPr>
          </w:p>
          <w:p w:rsidR="00C90313" w:rsidRDefault="00C90313">
            <w:pPr>
              <w:pStyle w:val="TableParagraph"/>
              <w:rPr>
                <w:rFonts w:ascii="Calibri"/>
                <w:sz w:val="20"/>
              </w:rPr>
            </w:pPr>
          </w:p>
          <w:p w:rsidR="00C90313" w:rsidRDefault="00C90313">
            <w:pPr>
              <w:pStyle w:val="TableParagraph"/>
              <w:spacing w:before="10"/>
              <w:rPr>
                <w:rFonts w:ascii="Calibri"/>
                <w:sz w:val="15"/>
              </w:rPr>
            </w:pPr>
          </w:p>
          <w:p w:rsidR="00C90313" w:rsidRDefault="00EB0BCC">
            <w:pPr>
              <w:pStyle w:val="TableParagraph"/>
              <w:ind w:left="102" w:right="226"/>
              <w:rPr>
                <w:sz w:val="18"/>
              </w:rPr>
            </w:pPr>
            <w:r>
              <w:rPr>
                <w:sz w:val="18"/>
              </w:rPr>
              <w:t>Service to the College or University through an isolated act of volunteerism.</w:t>
            </w:r>
          </w:p>
        </w:tc>
        <w:tc>
          <w:tcPr>
            <w:tcW w:w="2396" w:type="dxa"/>
            <w:tcBorders>
              <w:top w:val="nil"/>
              <w:left w:val="single" w:sz="4" w:space="0" w:color="FFFFFF"/>
              <w:bottom w:val="nil"/>
              <w:right w:val="nil"/>
            </w:tcBorders>
            <w:shd w:val="clear" w:color="auto" w:fill="B4C5E7"/>
          </w:tcPr>
          <w:p w:rsidR="00C90313" w:rsidRDefault="00C90313">
            <w:pPr>
              <w:pStyle w:val="TableParagraph"/>
              <w:rPr>
                <w:rFonts w:ascii="Calibri"/>
                <w:sz w:val="20"/>
              </w:rPr>
            </w:pPr>
          </w:p>
          <w:p w:rsidR="00C90313" w:rsidRDefault="00C90313">
            <w:pPr>
              <w:pStyle w:val="TableParagraph"/>
              <w:rPr>
                <w:rFonts w:ascii="Calibri"/>
                <w:sz w:val="20"/>
              </w:rPr>
            </w:pPr>
          </w:p>
          <w:p w:rsidR="00C90313" w:rsidRDefault="00C90313">
            <w:pPr>
              <w:pStyle w:val="TableParagraph"/>
              <w:spacing w:before="3"/>
              <w:rPr>
                <w:rFonts w:ascii="Calibri"/>
                <w:sz w:val="24"/>
              </w:rPr>
            </w:pPr>
          </w:p>
          <w:p w:rsidR="00C90313" w:rsidRDefault="00EB0BCC">
            <w:pPr>
              <w:pStyle w:val="TableParagraph"/>
              <w:ind w:left="101" w:right="180"/>
              <w:rPr>
                <w:sz w:val="18"/>
              </w:rPr>
            </w:pPr>
            <w:r>
              <w:rPr>
                <w:sz w:val="18"/>
              </w:rPr>
              <w:t>No meaningful service to the College or University.</w:t>
            </w:r>
          </w:p>
        </w:tc>
      </w:tr>
      <w:tr w:rsidR="00C90313">
        <w:trPr>
          <w:trHeight w:val="2198"/>
        </w:trPr>
        <w:tc>
          <w:tcPr>
            <w:tcW w:w="1429" w:type="dxa"/>
            <w:tcBorders>
              <w:top w:val="nil"/>
              <w:left w:val="nil"/>
              <w:bottom w:val="nil"/>
            </w:tcBorders>
            <w:shd w:val="clear" w:color="auto" w:fill="4471C4"/>
          </w:tcPr>
          <w:p w:rsidR="00C90313" w:rsidRDefault="00C90313">
            <w:pPr>
              <w:pStyle w:val="TableParagraph"/>
              <w:rPr>
                <w:rFonts w:ascii="Calibri"/>
              </w:rPr>
            </w:pPr>
          </w:p>
          <w:p w:rsidR="00C90313" w:rsidRDefault="00C90313">
            <w:pPr>
              <w:pStyle w:val="TableParagraph"/>
              <w:spacing w:before="11"/>
              <w:rPr>
                <w:rFonts w:ascii="Calibri"/>
                <w:sz w:val="29"/>
              </w:rPr>
            </w:pPr>
          </w:p>
          <w:p w:rsidR="00C90313" w:rsidRDefault="00EB0BCC">
            <w:pPr>
              <w:pStyle w:val="TableParagraph"/>
              <w:ind w:left="107" w:right="105"/>
              <w:jc w:val="center"/>
              <w:rPr>
                <w:b/>
                <w:sz w:val="20"/>
              </w:rPr>
            </w:pPr>
            <w:r>
              <w:rPr>
                <w:b/>
                <w:color w:val="FFFFFF"/>
                <w:sz w:val="20"/>
                <w:u w:val="single" w:color="FFFFFF"/>
              </w:rPr>
              <w:t>OR</w:t>
            </w:r>
          </w:p>
          <w:p w:rsidR="00C90313" w:rsidRDefault="00C90313">
            <w:pPr>
              <w:pStyle w:val="TableParagraph"/>
              <w:spacing w:before="11"/>
              <w:rPr>
                <w:rFonts w:ascii="Calibri"/>
                <w:sz w:val="18"/>
              </w:rPr>
            </w:pPr>
          </w:p>
          <w:p w:rsidR="00C90313" w:rsidRDefault="00EB0BCC">
            <w:pPr>
              <w:pStyle w:val="TableParagraph"/>
              <w:ind w:left="107" w:right="107"/>
              <w:jc w:val="center"/>
              <w:rPr>
                <w:b/>
                <w:sz w:val="20"/>
              </w:rPr>
            </w:pPr>
            <w:r>
              <w:rPr>
                <w:b/>
                <w:color w:val="FFFFFF"/>
                <w:w w:val="95"/>
                <w:sz w:val="20"/>
              </w:rPr>
              <w:t xml:space="preserve">Scholarly </w:t>
            </w:r>
            <w:r>
              <w:rPr>
                <w:b/>
                <w:color w:val="FFFFFF"/>
                <w:sz w:val="20"/>
              </w:rPr>
              <w:t>Service</w:t>
            </w:r>
          </w:p>
        </w:tc>
        <w:tc>
          <w:tcPr>
            <w:tcW w:w="2399" w:type="dxa"/>
            <w:tcBorders>
              <w:top w:val="nil"/>
              <w:bottom w:val="nil"/>
              <w:right w:val="single" w:sz="4" w:space="0" w:color="FFFFFF"/>
            </w:tcBorders>
            <w:shd w:val="clear" w:color="auto" w:fill="D9E1F3"/>
          </w:tcPr>
          <w:p w:rsidR="00C90313" w:rsidRDefault="00C90313">
            <w:pPr>
              <w:pStyle w:val="TableParagraph"/>
              <w:spacing w:before="10"/>
              <w:rPr>
                <w:rFonts w:ascii="Calibri"/>
                <w:sz w:val="21"/>
              </w:rPr>
            </w:pPr>
          </w:p>
          <w:p w:rsidR="00C90313" w:rsidRDefault="00EB0BCC">
            <w:pPr>
              <w:pStyle w:val="TableParagraph"/>
              <w:ind w:left="101" w:right="111"/>
              <w:rPr>
                <w:sz w:val="18"/>
              </w:rPr>
            </w:pPr>
            <w:r>
              <w:rPr>
                <w:sz w:val="18"/>
              </w:rPr>
              <w:t xml:space="preserve">Service as the Editor-in-Chief of a journal; completion of multiple external reviews of candidates for tenure or promotion; or completion of four or more </w:t>
            </w:r>
            <w:r>
              <w:rPr>
                <w:i/>
                <w:sz w:val="18"/>
              </w:rPr>
              <w:t xml:space="preserve">ad-hoc </w:t>
            </w:r>
            <w:r>
              <w:rPr>
                <w:sz w:val="18"/>
              </w:rPr>
              <w:t>peer- reviews of manuscripts for journals or scholarly presses.</w:t>
            </w:r>
          </w:p>
        </w:tc>
        <w:tc>
          <w:tcPr>
            <w:tcW w:w="2398" w:type="dxa"/>
            <w:tcBorders>
              <w:top w:val="nil"/>
              <w:left w:val="single" w:sz="4" w:space="0" w:color="FFFFFF"/>
              <w:bottom w:val="nil"/>
              <w:right w:val="single" w:sz="4" w:space="0" w:color="FFFFFF"/>
            </w:tcBorders>
            <w:shd w:val="clear" w:color="auto" w:fill="D9E1F3"/>
          </w:tcPr>
          <w:p w:rsidR="00C90313" w:rsidRDefault="00EB0BCC">
            <w:pPr>
              <w:pStyle w:val="TableParagraph"/>
              <w:spacing w:before="60"/>
              <w:ind w:left="103" w:right="124"/>
              <w:rPr>
                <w:sz w:val="18"/>
              </w:rPr>
            </w:pPr>
            <w:r>
              <w:rPr>
                <w:sz w:val="18"/>
              </w:rPr>
              <w:t xml:space="preserve">Service as the Guest Editor of a journal or as the Associate Editor of a journal; completion of an external review of a candidate for tenure or promotion; or completion of three </w:t>
            </w:r>
            <w:r>
              <w:rPr>
                <w:i/>
                <w:sz w:val="18"/>
              </w:rPr>
              <w:t xml:space="preserve">ad-hoc </w:t>
            </w:r>
            <w:r>
              <w:rPr>
                <w:sz w:val="18"/>
              </w:rPr>
              <w:t>peer-reviews of manuscripts for journals or scholarly presses.</w:t>
            </w:r>
          </w:p>
        </w:tc>
        <w:tc>
          <w:tcPr>
            <w:tcW w:w="2398" w:type="dxa"/>
            <w:tcBorders>
              <w:top w:val="nil"/>
              <w:left w:val="single" w:sz="4" w:space="0" w:color="FFFFFF"/>
              <w:bottom w:val="nil"/>
              <w:right w:val="single" w:sz="4" w:space="0" w:color="FFFFFF"/>
            </w:tcBorders>
            <w:shd w:val="clear" w:color="auto" w:fill="D9E1F3"/>
          </w:tcPr>
          <w:p w:rsidR="00C90313" w:rsidRDefault="00C90313">
            <w:pPr>
              <w:pStyle w:val="TableParagraph"/>
              <w:spacing w:before="10"/>
              <w:rPr>
                <w:rFonts w:ascii="Calibri"/>
                <w:sz w:val="21"/>
              </w:rPr>
            </w:pPr>
          </w:p>
          <w:p w:rsidR="00C90313" w:rsidRDefault="00EB0BCC">
            <w:pPr>
              <w:pStyle w:val="TableParagraph"/>
              <w:ind w:left="102" w:right="153"/>
              <w:rPr>
                <w:sz w:val="18"/>
              </w:rPr>
            </w:pPr>
            <w:r>
              <w:rPr>
                <w:sz w:val="18"/>
              </w:rPr>
              <w:t xml:space="preserve">Service on the editorial board of a professional journal with regular peer reviewer responsibilities; and/or completion of two </w:t>
            </w:r>
            <w:r>
              <w:rPr>
                <w:i/>
                <w:sz w:val="18"/>
              </w:rPr>
              <w:t xml:space="preserve">ad-hoc </w:t>
            </w:r>
            <w:r>
              <w:rPr>
                <w:sz w:val="18"/>
              </w:rPr>
              <w:t>peer-reviews of manuscripts for journals or scholarly presses.</w:t>
            </w:r>
          </w:p>
        </w:tc>
        <w:tc>
          <w:tcPr>
            <w:tcW w:w="2398" w:type="dxa"/>
            <w:tcBorders>
              <w:top w:val="nil"/>
              <w:left w:val="single" w:sz="4" w:space="0" w:color="FFFFFF"/>
              <w:bottom w:val="nil"/>
              <w:right w:val="single" w:sz="4" w:space="0" w:color="FFFFFF"/>
            </w:tcBorders>
            <w:shd w:val="clear" w:color="auto" w:fill="D9E1F3"/>
          </w:tcPr>
          <w:p w:rsidR="00C90313" w:rsidRDefault="00C90313">
            <w:pPr>
              <w:pStyle w:val="TableParagraph"/>
              <w:rPr>
                <w:rFonts w:ascii="Calibri"/>
                <w:sz w:val="20"/>
              </w:rPr>
            </w:pPr>
          </w:p>
          <w:p w:rsidR="00C90313" w:rsidRDefault="00C90313">
            <w:pPr>
              <w:pStyle w:val="TableParagraph"/>
              <w:rPr>
                <w:rFonts w:ascii="Calibri"/>
                <w:sz w:val="20"/>
              </w:rPr>
            </w:pPr>
          </w:p>
          <w:p w:rsidR="00C90313" w:rsidRDefault="00C90313">
            <w:pPr>
              <w:pStyle w:val="TableParagraph"/>
              <w:spacing w:before="7"/>
              <w:rPr>
                <w:rFonts w:ascii="Calibri"/>
                <w:sz w:val="15"/>
              </w:rPr>
            </w:pPr>
          </w:p>
          <w:p w:rsidR="00C90313" w:rsidRDefault="00EB0BCC">
            <w:pPr>
              <w:pStyle w:val="TableParagraph"/>
              <w:ind w:left="102" w:right="258"/>
              <w:rPr>
                <w:sz w:val="18"/>
              </w:rPr>
            </w:pPr>
            <w:r>
              <w:rPr>
                <w:sz w:val="18"/>
              </w:rPr>
              <w:t xml:space="preserve">Completion of one </w:t>
            </w:r>
            <w:r>
              <w:rPr>
                <w:i/>
                <w:sz w:val="18"/>
              </w:rPr>
              <w:t xml:space="preserve">ad-hoc </w:t>
            </w:r>
            <w:r>
              <w:rPr>
                <w:sz w:val="18"/>
              </w:rPr>
              <w:t>peer-review of a manuscript for a journal or scholarly press.</w:t>
            </w:r>
          </w:p>
        </w:tc>
        <w:tc>
          <w:tcPr>
            <w:tcW w:w="2396" w:type="dxa"/>
            <w:tcBorders>
              <w:top w:val="nil"/>
              <w:left w:val="single" w:sz="4" w:space="0" w:color="FFFFFF"/>
              <w:bottom w:val="nil"/>
              <w:right w:val="nil"/>
            </w:tcBorders>
            <w:shd w:val="clear" w:color="auto" w:fill="D9E1F3"/>
          </w:tcPr>
          <w:p w:rsidR="00C90313" w:rsidRDefault="00C90313">
            <w:pPr>
              <w:pStyle w:val="TableParagraph"/>
              <w:rPr>
                <w:rFonts w:ascii="Calibri"/>
                <w:sz w:val="20"/>
              </w:rPr>
            </w:pPr>
          </w:p>
          <w:p w:rsidR="00C90313" w:rsidRDefault="00EB0BCC">
            <w:pPr>
              <w:pStyle w:val="TableParagraph"/>
              <w:spacing w:before="125"/>
              <w:ind w:left="101" w:right="175"/>
              <w:rPr>
                <w:sz w:val="18"/>
              </w:rPr>
            </w:pPr>
            <w:r>
              <w:rPr>
                <w:sz w:val="18"/>
              </w:rPr>
              <w:t>No service to professional journals or scholarly presses; and no profession service to other colleges/universities as an external reviewer for a candidate for tenure or promotion.</w:t>
            </w:r>
          </w:p>
        </w:tc>
      </w:tr>
      <w:tr w:rsidR="00C90313">
        <w:trPr>
          <w:trHeight w:val="1775"/>
        </w:trPr>
        <w:tc>
          <w:tcPr>
            <w:tcW w:w="1429" w:type="dxa"/>
            <w:tcBorders>
              <w:top w:val="nil"/>
              <w:left w:val="nil"/>
              <w:bottom w:val="nil"/>
            </w:tcBorders>
            <w:shd w:val="clear" w:color="auto" w:fill="4471C4"/>
          </w:tcPr>
          <w:p w:rsidR="00C90313" w:rsidRDefault="00C90313">
            <w:pPr>
              <w:pStyle w:val="TableParagraph"/>
              <w:spacing w:before="9"/>
              <w:rPr>
                <w:rFonts w:ascii="Calibri"/>
                <w:sz w:val="25"/>
              </w:rPr>
            </w:pPr>
          </w:p>
          <w:p w:rsidR="00C90313" w:rsidRDefault="00EB0BCC">
            <w:pPr>
              <w:pStyle w:val="TableParagraph"/>
              <w:ind w:left="107" w:right="105"/>
              <w:jc w:val="center"/>
              <w:rPr>
                <w:b/>
                <w:sz w:val="20"/>
              </w:rPr>
            </w:pPr>
            <w:r>
              <w:rPr>
                <w:b/>
                <w:color w:val="FFFFFF"/>
                <w:sz w:val="20"/>
                <w:u w:val="single" w:color="FFFFFF"/>
              </w:rPr>
              <w:t>OR</w:t>
            </w:r>
          </w:p>
          <w:p w:rsidR="00C90313" w:rsidRDefault="00C90313">
            <w:pPr>
              <w:pStyle w:val="TableParagraph"/>
              <w:spacing w:before="9"/>
              <w:rPr>
                <w:rFonts w:ascii="Calibri"/>
                <w:sz w:val="18"/>
              </w:rPr>
            </w:pPr>
          </w:p>
          <w:p w:rsidR="00C90313" w:rsidRDefault="00EB0BCC">
            <w:pPr>
              <w:pStyle w:val="TableParagraph"/>
              <w:ind w:left="197" w:right="192"/>
              <w:jc w:val="center"/>
              <w:rPr>
                <w:b/>
                <w:sz w:val="20"/>
              </w:rPr>
            </w:pPr>
            <w:r>
              <w:rPr>
                <w:b/>
                <w:color w:val="FFFFFF"/>
                <w:w w:val="95"/>
                <w:sz w:val="20"/>
              </w:rPr>
              <w:t xml:space="preserve">Professional </w:t>
            </w:r>
            <w:r>
              <w:rPr>
                <w:b/>
                <w:color w:val="FFFFFF"/>
                <w:sz w:val="20"/>
              </w:rPr>
              <w:t>or Civic Service</w:t>
            </w:r>
          </w:p>
        </w:tc>
        <w:tc>
          <w:tcPr>
            <w:tcW w:w="2399" w:type="dxa"/>
            <w:tcBorders>
              <w:top w:val="nil"/>
              <w:bottom w:val="nil"/>
              <w:right w:val="single" w:sz="4" w:space="0" w:color="FFFFFF"/>
            </w:tcBorders>
            <w:shd w:val="clear" w:color="auto" w:fill="B4C5E7"/>
          </w:tcPr>
          <w:p w:rsidR="00C90313" w:rsidRDefault="00C90313">
            <w:pPr>
              <w:pStyle w:val="TableParagraph"/>
              <w:rPr>
                <w:rFonts w:ascii="Calibri"/>
              </w:rPr>
            </w:pPr>
          </w:p>
          <w:p w:rsidR="00C90313" w:rsidRDefault="00EB0BCC">
            <w:pPr>
              <w:pStyle w:val="TableParagraph"/>
              <w:ind w:left="101" w:right="181"/>
              <w:rPr>
                <w:sz w:val="18"/>
              </w:rPr>
            </w:pPr>
            <w:r>
              <w:rPr>
                <w:sz w:val="18"/>
              </w:rPr>
              <w:t>Leadership as an officer of a professional organization, community board, review panel, etc.; or leadership of a major community service undertaking.</w:t>
            </w:r>
          </w:p>
        </w:tc>
        <w:tc>
          <w:tcPr>
            <w:tcW w:w="2398" w:type="dxa"/>
            <w:tcBorders>
              <w:top w:val="nil"/>
              <w:left w:val="single" w:sz="4" w:space="0" w:color="FFFFFF"/>
              <w:bottom w:val="nil"/>
              <w:right w:val="single" w:sz="4" w:space="0" w:color="FFFFFF"/>
            </w:tcBorders>
            <w:shd w:val="clear" w:color="auto" w:fill="B4C5E7"/>
          </w:tcPr>
          <w:p w:rsidR="00C90313" w:rsidRDefault="00EB0BCC">
            <w:pPr>
              <w:pStyle w:val="TableParagraph"/>
              <w:spacing w:before="60"/>
              <w:ind w:left="103" w:right="290"/>
              <w:rPr>
                <w:sz w:val="18"/>
              </w:rPr>
            </w:pPr>
            <w:r>
              <w:rPr>
                <w:sz w:val="18"/>
              </w:rPr>
              <w:t>Leadership as a non-officer board member of a professional organization, community board, review panel, etc.; or significant involvement in a major community service undertaking.</w:t>
            </w:r>
          </w:p>
        </w:tc>
        <w:tc>
          <w:tcPr>
            <w:tcW w:w="2398" w:type="dxa"/>
            <w:tcBorders>
              <w:top w:val="nil"/>
              <w:left w:val="single" w:sz="4" w:space="0" w:color="FFFFFF"/>
              <w:bottom w:val="nil"/>
              <w:right w:val="single" w:sz="4" w:space="0" w:color="FFFFFF"/>
            </w:tcBorders>
            <w:shd w:val="clear" w:color="auto" w:fill="B4C5E7"/>
          </w:tcPr>
          <w:p w:rsidR="00C90313" w:rsidRDefault="00EB0BCC">
            <w:pPr>
              <w:pStyle w:val="TableParagraph"/>
              <w:spacing w:before="163"/>
              <w:ind w:left="102" w:right="201"/>
              <w:rPr>
                <w:sz w:val="18"/>
              </w:rPr>
            </w:pPr>
            <w:r>
              <w:rPr>
                <w:sz w:val="18"/>
              </w:rPr>
              <w:t>Service as a member of a committee for a professional organization, community board, review panel, etc.; or periodic participant in some community service undertaking.</w:t>
            </w:r>
          </w:p>
        </w:tc>
        <w:tc>
          <w:tcPr>
            <w:tcW w:w="2398" w:type="dxa"/>
            <w:tcBorders>
              <w:top w:val="nil"/>
              <w:left w:val="single" w:sz="4" w:space="0" w:color="FFFFFF"/>
              <w:bottom w:val="nil"/>
              <w:right w:val="single" w:sz="4" w:space="0" w:color="FFFFFF"/>
            </w:tcBorders>
            <w:shd w:val="clear" w:color="auto" w:fill="B4C5E7"/>
          </w:tcPr>
          <w:p w:rsidR="00C90313" w:rsidRDefault="00EB0BCC">
            <w:pPr>
              <w:pStyle w:val="TableParagraph"/>
              <w:spacing w:before="163"/>
              <w:ind w:left="102" w:right="306"/>
              <w:rPr>
                <w:sz w:val="18"/>
              </w:rPr>
            </w:pPr>
            <w:r>
              <w:rPr>
                <w:sz w:val="18"/>
              </w:rPr>
              <w:t>No service to professional organizations, community boards, review panels, etc.; but periodic or isolated participant in some community service undertaking.</w:t>
            </w:r>
          </w:p>
        </w:tc>
        <w:tc>
          <w:tcPr>
            <w:tcW w:w="2396" w:type="dxa"/>
            <w:tcBorders>
              <w:top w:val="nil"/>
              <w:left w:val="single" w:sz="4" w:space="0" w:color="FFFFFF"/>
              <w:bottom w:val="nil"/>
              <w:right w:val="nil"/>
            </w:tcBorders>
            <w:shd w:val="clear" w:color="auto" w:fill="B4C5E7"/>
          </w:tcPr>
          <w:p w:rsidR="00C90313" w:rsidRDefault="00C90313">
            <w:pPr>
              <w:pStyle w:val="TableParagraph"/>
              <w:rPr>
                <w:rFonts w:ascii="Calibri"/>
                <w:sz w:val="20"/>
              </w:rPr>
            </w:pPr>
          </w:p>
          <w:p w:rsidR="00C90313" w:rsidRDefault="00C90313">
            <w:pPr>
              <w:pStyle w:val="TableParagraph"/>
              <w:spacing w:before="11"/>
              <w:rPr>
                <w:rFonts w:ascii="Calibri"/>
                <w:sz w:val="18"/>
              </w:rPr>
            </w:pPr>
          </w:p>
          <w:p w:rsidR="00C90313" w:rsidRDefault="00EB0BCC">
            <w:pPr>
              <w:pStyle w:val="TableParagraph"/>
              <w:ind w:left="101" w:right="100"/>
              <w:rPr>
                <w:sz w:val="18"/>
              </w:rPr>
            </w:pPr>
            <w:r>
              <w:rPr>
                <w:sz w:val="18"/>
              </w:rPr>
              <w:t>No service to professional organizations, community boards, review panels, or as a participant in any community.</w:t>
            </w:r>
          </w:p>
        </w:tc>
      </w:tr>
    </w:tbl>
    <w:p w:rsidR="00EB0BCC" w:rsidRDefault="00EB0BCC"/>
    <w:sectPr w:rsidR="00EB0BCC">
      <w:pgSz w:w="15840" w:h="12240" w:orient="landscape"/>
      <w:pgMar w:top="1080" w:right="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CC" w:rsidRDefault="00EB0BCC" w:rsidP="00B00F2A">
      <w:r>
        <w:separator/>
      </w:r>
    </w:p>
  </w:endnote>
  <w:endnote w:type="continuationSeparator" w:id="0">
    <w:p w:rsidR="00EB0BCC" w:rsidRDefault="00EB0BCC" w:rsidP="00B0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CC" w:rsidRDefault="00EB0BCC" w:rsidP="00B00F2A">
      <w:r>
        <w:separator/>
      </w:r>
    </w:p>
  </w:footnote>
  <w:footnote w:type="continuationSeparator" w:id="0">
    <w:p w:rsidR="00EB0BCC" w:rsidRDefault="00EB0BCC" w:rsidP="00B0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F2A" w:rsidRPr="00B00F2A" w:rsidRDefault="00B00F2A">
    <w:pPr>
      <w:pStyle w:val="Header"/>
      <w:rPr>
        <w:sz w:val="18"/>
        <w:szCs w:val="18"/>
      </w:rPr>
    </w:pPr>
    <w:r>
      <w:rPr>
        <w:sz w:val="18"/>
        <w:szCs w:val="18"/>
      </w:rPr>
      <w:t>School of Criminology and Criminal Justice Annual Performance Rubric for Fixed Term Faculty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13"/>
    <w:rsid w:val="009E5B21"/>
    <w:rsid w:val="00B00F2A"/>
    <w:rsid w:val="00C90313"/>
    <w:rsid w:val="00D161B4"/>
    <w:rsid w:val="00EB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ACAE"/>
  <w15:docId w15:val="{2238FE0D-F6BE-44A9-865D-14B78963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0F2A"/>
    <w:pPr>
      <w:tabs>
        <w:tab w:val="center" w:pos="4680"/>
        <w:tab w:val="right" w:pos="9360"/>
      </w:tabs>
    </w:pPr>
  </w:style>
  <w:style w:type="character" w:customStyle="1" w:styleId="HeaderChar">
    <w:name w:val="Header Char"/>
    <w:basedOn w:val="DefaultParagraphFont"/>
    <w:link w:val="Header"/>
    <w:uiPriority w:val="99"/>
    <w:rsid w:val="00B00F2A"/>
    <w:rPr>
      <w:rFonts w:ascii="Times New Roman" w:eastAsia="Times New Roman" w:hAnsi="Times New Roman" w:cs="Times New Roman"/>
    </w:rPr>
  </w:style>
  <w:style w:type="paragraph" w:styleId="Footer">
    <w:name w:val="footer"/>
    <w:basedOn w:val="Normal"/>
    <w:link w:val="FooterChar"/>
    <w:uiPriority w:val="99"/>
    <w:unhideWhenUsed/>
    <w:rsid w:val="00B00F2A"/>
    <w:pPr>
      <w:tabs>
        <w:tab w:val="center" w:pos="4680"/>
        <w:tab w:val="right" w:pos="9360"/>
      </w:tabs>
    </w:pPr>
  </w:style>
  <w:style w:type="character" w:customStyle="1" w:styleId="FooterChar">
    <w:name w:val="Footer Char"/>
    <w:basedOn w:val="DefaultParagraphFont"/>
    <w:link w:val="Footer"/>
    <w:uiPriority w:val="99"/>
    <w:rsid w:val="00B00F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Sara Cutrone</dc:creator>
  <cp:lastModifiedBy>Sara Cutrone</cp:lastModifiedBy>
  <cp:revision>2</cp:revision>
  <dcterms:created xsi:type="dcterms:W3CDTF">2020-10-26T17:40:00Z</dcterms:created>
  <dcterms:modified xsi:type="dcterms:W3CDTF">2020-10-26T17:40:00Z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2013-07-01T00:00:00Z</vt:filetime>
  </property>
  <property fmtid="{D5CDD505-2E9C-101B-9397-08002B2CF9AE}" pid="3" name="Creator">
    <vt:lpwstr>Canon iR5570/iR6570             </vt:lpwstr>
  </property>
  <property fmtid="{D5CDD505-2E9C-101B-9397-08002B2CF9AE}" pid="4" name="LastSaved">
    <vt:filetime>2020-09-22T00:00:00Z</vt:filetime>
  </property>
</Properties>
</file>