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521" w:rsidRPr="00B46183" w:rsidRDefault="00F84EBF" w:rsidP="00757EB3">
      <w:pPr>
        <w:rPr>
          <w:rFonts w:ascii="Candara" w:hAnsi="Candara"/>
          <w:b/>
          <w:sz w:val="28"/>
          <w:szCs w:val="28"/>
          <w:u w:val="single"/>
        </w:rPr>
      </w:pPr>
      <w:r w:rsidRPr="00B46183">
        <w:rPr>
          <w:rFonts w:ascii="Candara" w:hAnsi="Candara"/>
          <w:b/>
          <w:sz w:val="28"/>
          <w:szCs w:val="28"/>
          <w:u w:val="single"/>
        </w:rPr>
        <w:t>Academic</w:t>
      </w:r>
      <w:r w:rsidR="004A08D0">
        <w:rPr>
          <w:rFonts w:ascii="Candara" w:hAnsi="Candara"/>
          <w:b/>
          <w:sz w:val="28"/>
          <w:szCs w:val="28"/>
          <w:u w:val="single"/>
        </w:rPr>
        <w:t xml:space="preserve"> </w:t>
      </w:r>
      <w:r w:rsidR="00DF18AF">
        <w:rPr>
          <w:rFonts w:ascii="Candara" w:hAnsi="Candara"/>
          <w:b/>
          <w:sz w:val="28"/>
          <w:szCs w:val="28"/>
          <w:u w:val="single"/>
        </w:rPr>
        <w:t xml:space="preserve">Year 2017-2-18 </w:t>
      </w:r>
      <w:r w:rsidR="004A08D0">
        <w:rPr>
          <w:rFonts w:ascii="Candara" w:hAnsi="Candara"/>
          <w:b/>
          <w:sz w:val="28"/>
          <w:szCs w:val="28"/>
          <w:u w:val="single"/>
        </w:rPr>
        <w:t>Pay Schedule</w:t>
      </w:r>
      <w:r w:rsidR="00DF18AF">
        <w:rPr>
          <w:rFonts w:ascii="Candara" w:hAnsi="Candara"/>
          <w:b/>
          <w:sz w:val="28"/>
          <w:szCs w:val="28"/>
          <w:u w:val="single"/>
        </w:rPr>
        <w:t xml:space="preserve"> Adjustment FAQ’s </w:t>
      </w:r>
    </w:p>
    <w:p w:rsidR="001D4038" w:rsidRDefault="001D4038" w:rsidP="00016521">
      <w:pPr>
        <w:rPr>
          <w:rFonts w:ascii="Candara" w:hAnsi="Candara"/>
          <w:b/>
          <w:sz w:val="24"/>
          <w:szCs w:val="24"/>
        </w:rPr>
      </w:pPr>
    </w:p>
    <w:p w:rsidR="00016521" w:rsidRPr="00016521" w:rsidRDefault="00016521" w:rsidP="00016521">
      <w:pPr>
        <w:rPr>
          <w:rFonts w:ascii="Candara" w:hAnsi="Candara"/>
          <w:b/>
        </w:rPr>
      </w:pPr>
      <w:r>
        <w:rPr>
          <w:rFonts w:ascii="Candara" w:hAnsi="Candara"/>
          <w:b/>
          <w:sz w:val="24"/>
          <w:szCs w:val="24"/>
        </w:rPr>
        <w:t>W</w:t>
      </w:r>
      <w:r w:rsidR="00A867F0">
        <w:rPr>
          <w:rFonts w:ascii="Candara" w:hAnsi="Candara"/>
          <w:b/>
          <w:sz w:val="24"/>
          <w:szCs w:val="24"/>
        </w:rPr>
        <w:t xml:space="preserve">ho is affected by the </w:t>
      </w:r>
      <w:r w:rsidR="001922F1">
        <w:rPr>
          <w:rFonts w:ascii="Candara" w:hAnsi="Candara"/>
          <w:b/>
          <w:sz w:val="24"/>
          <w:szCs w:val="24"/>
        </w:rPr>
        <w:t>adjustments</w:t>
      </w:r>
      <w:r w:rsidR="001922F1" w:rsidRPr="00E8284B">
        <w:rPr>
          <w:rFonts w:ascii="Candara" w:hAnsi="Candara"/>
          <w:b/>
          <w:sz w:val="24"/>
          <w:szCs w:val="24"/>
        </w:rPr>
        <w:t xml:space="preserve"> </w:t>
      </w:r>
      <w:r w:rsidR="004A08D0">
        <w:rPr>
          <w:rFonts w:ascii="Candara" w:hAnsi="Candara"/>
          <w:b/>
          <w:sz w:val="24"/>
          <w:szCs w:val="24"/>
        </w:rPr>
        <w:t>to Academic Pay Schedule?</w:t>
      </w:r>
    </w:p>
    <w:p w:rsidR="003F4CCD" w:rsidRDefault="004B7D41" w:rsidP="00DF18A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F</w:t>
      </w:r>
      <w:r w:rsidR="00016521">
        <w:rPr>
          <w:rFonts w:ascii="Candara" w:hAnsi="Candara"/>
          <w:sz w:val="24"/>
          <w:szCs w:val="24"/>
        </w:rPr>
        <w:t xml:space="preserve">aculty </w:t>
      </w:r>
      <w:r>
        <w:rPr>
          <w:rFonts w:ascii="Candara" w:hAnsi="Candara"/>
          <w:sz w:val="24"/>
          <w:szCs w:val="24"/>
        </w:rPr>
        <w:t>and</w:t>
      </w:r>
      <w:r w:rsidR="00016521">
        <w:rPr>
          <w:rFonts w:ascii="Candara" w:hAnsi="Candara"/>
          <w:sz w:val="24"/>
          <w:szCs w:val="24"/>
        </w:rPr>
        <w:t xml:space="preserve"> academic professionals </w:t>
      </w:r>
      <w:r>
        <w:rPr>
          <w:rFonts w:ascii="Candara" w:hAnsi="Candara"/>
          <w:sz w:val="24"/>
          <w:szCs w:val="24"/>
        </w:rPr>
        <w:t xml:space="preserve">paid over 9 months (ACD) are affected.   Between </w:t>
      </w:r>
      <w:r w:rsidR="00DF18AF"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sz w:val="24"/>
          <w:szCs w:val="24"/>
        </w:rPr>
        <w:t xml:space="preserve">AY2016-17 and AY2017-18 academic years there will be seven pay periods rather than </w:t>
      </w:r>
      <w:r w:rsidR="00DF18AF">
        <w:rPr>
          <w:rFonts w:ascii="Candara" w:hAnsi="Candara"/>
          <w:sz w:val="24"/>
          <w:szCs w:val="24"/>
        </w:rPr>
        <w:t xml:space="preserve">the </w:t>
      </w:r>
      <w:r>
        <w:rPr>
          <w:rFonts w:ascii="Candara" w:hAnsi="Candara"/>
          <w:sz w:val="24"/>
          <w:szCs w:val="24"/>
        </w:rPr>
        <w:t xml:space="preserve">customary six pay periods, as shown below.   </w:t>
      </w:r>
      <w:r w:rsidRPr="00CC2A0D">
        <w:rPr>
          <w:rFonts w:ascii="Candara" w:hAnsi="Candara"/>
          <w:sz w:val="24"/>
          <w:szCs w:val="24"/>
          <w:u w:val="single"/>
        </w:rPr>
        <w:t>Faculty and academic professionals paid over 9 months (ACD) will receive their initial AY2017-18 pay on Friday, September 1, 2017.</w:t>
      </w:r>
      <w:r>
        <w:rPr>
          <w:rFonts w:ascii="Candara" w:hAnsi="Candara"/>
          <w:sz w:val="24"/>
          <w:szCs w:val="24"/>
        </w:rPr>
        <w:t xml:space="preserve">  </w:t>
      </w:r>
    </w:p>
    <w:p w:rsidR="001B016C" w:rsidRDefault="007045D8" w:rsidP="001B016C">
      <w:pPr>
        <w:rPr>
          <w:rFonts w:ascii="Candara" w:hAnsi="Candara"/>
          <w:sz w:val="24"/>
          <w:szCs w:val="24"/>
        </w:rPr>
      </w:pPr>
      <w:r>
        <w:rPr>
          <w:noProof/>
        </w:rPr>
        <w:drawing>
          <wp:inline distT="0" distB="0" distL="0" distR="0" wp14:anchorId="00255DFF" wp14:editId="22BB20A8">
            <wp:extent cx="5581650" cy="630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CCD" w:rsidRDefault="003F4CCD" w:rsidP="001B016C">
      <w:pPr>
        <w:rPr>
          <w:rFonts w:ascii="Candara" w:hAnsi="Candara"/>
          <w:b/>
          <w:sz w:val="26"/>
          <w:szCs w:val="26"/>
        </w:rPr>
      </w:pPr>
    </w:p>
    <w:p w:rsidR="003F4CCD" w:rsidRDefault="003F4CCD" w:rsidP="001B016C">
      <w:pPr>
        <w:rPr>
          <w:rFonts w:ascii="Candara" w:hAnsi="Candara"/>
          <w:b/>
          <w:sz w:val="26"/>
          <w:szCs w:val="26"/>
        </w:rPr>
      </w:pPr>
    </w:p>
    <w:p w:rsidR="00B46183" w:rsidRDefault="00B46183" w:rsidP="00B46183">
      <w:pPr>
        <w:rPr>
          <w:rFonts w:ascii="Candara" w:hAnsi="Candara"/>
          <w:b/>
          <w:sz w:val="26"/>
          <w:szCs w:val="26"/>
        </w:rPr>
      </w:pPr>
      <w:r w:rsidRPr="00E10F45">
        <w:rPr>
          <w:rFonts w:ascii="Candara" w:hAnsi="Candara"/>
          <w:b/>
          <w:sz w:val="26"/>
          <w:szCs w:val="26"/>
        </w:rPr>
        <w:lastRenderedPageBreak/>
        <w:t>Do I need to do anything?</w:t>
      </w:r>
    </w:p>
    <w:p w:rsidR="00DF18AF" w:rsidRDefault="00DF18AF" w:rsidP="00DF18AF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Faculty and academic professionals paid over 9 months (ACD) have several options in response to the summer 2017 schedule adjustment: </w:t>
      </w:r>
    </w:p>
    <w:p w:rsidR="00DF18AF" w:rsidRDefault="00C538A5" w:rsidP="00F52A06">
      <w:pPr>
        <w:pStyle w:val="ListParagraph"/>
        <w:rPr>
          <w:rFonts w:ascii="Candara" w:hAnsi="Candara"/>
          <w:sz w:val="24"/>
          <w:szCs w:val="24"/>
        </w:rPr>
      </w:pPr>
      <w:r w:rsidRPr="00F52A06">
        <w:rPr>
          <w:rFonts w:ascii="Candara" w:hAnsi="Candara"/>
          <w:sz w:val="24"/>
          <w:szCs w:val="24"/>
          <w:u w:val="single"/>
        </w:rPr>
        <w:t xml:space="preserve">OPTION 1:  </w:t>
      </w:r>
      <w:r w:rsidR="00DF18AF" w:rsidRPr="00F52A06">
        <w:rPr>
          <w:rFonts w:ascii="Candara" w:hAnsi="Candara"/>
          <w:sz w:val="24"/>
          <w:szCs w:val="24"/>
          <w:u w:val="single"/>
        </w:rPr>
        <w:t>Take no action.</w:t>
      </w:r>
      <w:r w:rsidR="00DF18AF">
        <w:rPr>
          <w:rFonts w:ascii="Candara" w:hAnsi="Candara"/>
          <w:sz w:val="24"/>
          <w:szCs w:val="24"/>
        </w:rPr>
        <w:t xml:space="preserve">  Your final AY2016-17 pay will be received on May 12, 2017 and your first AY2017-18 pay will be received on September 1, 2017.  </w:t>
      </w:r>
      <w:r>
        <w:rPr>
          <w:rFonts w:ascii="Candara" w:hAnsi="Candara"/>
          <w:sz w:val="24"/>
          <w:szCs w:val="24"/>
        </w:rPr>
        <w:br/>
      </w:r>
    </w:p>
    <w:p w:rsidR="00C538A5" w:rsidRDefault="00C538A5" w:rsidP="00F52A06">
      <w:pPr>
        <w:pStyle w:val="ListParagraph"/>
        <w:rPr>
          <w:rFonts w:ascii="Candara" w:hAnsi="Candara"/>
          <w:sz w:val="24"/>
          <w:szCs w:val="24"/>
        </w:rPr>
      </w:pPr>
      <w:r w:rsidRPr="00F52A06">
        <w:rPr>
          <w:rFonts w:ascii="Candara" w:hAnsi="Candara"/>
          <w:sz w:val="24"/>
          <w:szCs w:val="24"/>
          <w:u w:val="single"/>
        </w:rPr>
        <w:t xml:space="preserve">OPTION 2:  </w:t>
      </w:r>
      <w:r w:rsidR="00DF18AF" w:rsidRPr="00F52A06">
        <w:rPr>
          <w:rFonts w:ascii="Candara" w:hAnsi="Candara"/>
          <w:sz w:val="24"/>
          <w:szCs w:val="24"/>
          <w:u w:val="single"/>
        </w:rPr>
        <w:t>Adjust your summer 2017 pay schedule.</w:t>
      </w:r>
      <w:r w:rsidR="00DF18AF" w:rsidRPr="00C538A5">
        <w:rPr>
          <w:rFonts w:ascii="Candara" w:hAnsi="Candara"/>
          <w:sz w:val="24"/>
          <w:szCs w:val="24"/>
        </w:rPr>
        <w:t xml:space="preserve">  Faculty and academic professionals on nine month appointments who work all summer can elect to have their summer salary paid over 6 or 7 summer pay periods. Your total summer salary will remain the same, but your bi-weekly rate will be lower if you elect to be paid over 7 pay periods.</w:t>
      </w:r>
      <w:r>
        <w:rPr>
          <w:rFonts w:ascii="Candara" w:hAnsi="Candara"/>
          <w:sz w:val="24"/>
          <w:szCs w:val="24"/>
        </w:rPr>
        <w:br/>
      </w:r>
      <w:r>
        <w:rPr>
          <w:noProof/>
        </w:rPr>
        <w:drawing>
          <wp:inline distT="0" distB="0" distL="0" distR="0" wp14:anchorId="37E20D8A" wp14:editId="762E477D">
            <wp:extent cx="4780963" cy="5991225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9110" cy="600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24"/>
          <w:szCs w:val="24"/>
        </w:rPr>
        <w:br/>
      </w:r>
    </w:p>
    <w:p w:rsidR="007045D8" w:rsidRDefault="007045D8">
      <w:pPr>
        <w:rPr>
          <w:rFonts w:ascii="Candara" w:hAnsi="Candara"/>
          <w:sz w:val="24"/>
          <w:szCs w:val="24"/>
          <w:u w:val="single"/>
        </w:rPr>
      </w:pPr>
      <w:r>
        <w:rPr>
          <w:rFonts w:ascii="Candara" w:hAnsi="Candara"/>
          <w:sz w:val="24"/>
          <w:szCs w:val="24"/>
          <w:u w:val="single"/>
        </w:rPr>
        <w:br w:type="page"/>
      </w:r>
    </w:p>
    <w:p w:rsidR="00C538A5" w:rsidRPr="00C538A5" w:rsidRDefault="00C538A5" w:rsidP="00F52A06">
      <w:pPr>
        <w:pStyle w:val="ListParagraph"/>
        <w:rPr>
          <w:rFonts w:ascii="Candara" w:hAnsi="Candara"/>
          <w:sz w:val="24"/>
          <w:szCs w:val="24"/>
        </w:rPr>
      </w:pPr>
      <w:r w:rsidRPr="00F52A06">
        <w:rPr>
          <w:rFonts w:ascii="Candara" w:hAnsi="Candara"/>
          <w:sz w:val="24"/>
          <w:szCs w:val="24"/>
          <w:u w:val="single"/>
        </w:rPr>
        <w:lastRenderedPageBreak/>
        <w:t>OPTION 3:  If eligible, elect the A12 pay option for the 2017-18 academic year.</w:t>
      </w:r>
      <w:r w:rsidRPr="00C538A5">
        <w:rPr>
          <w:rFonts w:ascii="Candara" w:hAnsi="Candara"/>
          <w:sz w:val="24"/>
          <w:szCs w:val="24"/>
        </w:rPr>
        <w:t xml:space="preserve">   </w:t>
      </w:r>
      <w:r w:rsidR="00FC6E65">
        <w:rPr>
          <w:rFonts w:ascii="Candara" w:hAnsi="Candara"/>
          <w:sz w:val="24"/>
          <w:szCs w:val="24"/>
        </w:rPr>
        <w:t xml:space="preserve">With </w:t>
      </w:r>
      <w:r w:rsidR="00FC6E65">
        <w:rPr>
          <w:rFonts w:ascii="Candara" w:hAnsi="Candara"/>
          <w:sz w:val="24"/>
          <w:szCs w:val="24"/>
        </w:rPr>
        <w:t>t</w:t>
      </w:r>
      <w:r w:rsidRPr="00C538A5">
        <w:rPr>
          <w:rFonts w:ascii="Candara" w:hAnsi="Candara"/>
          <w:sz w:val="24"/>
          <w:szCs w:val="24"/>
        </w:rPr>
        <w:t>he A12 pay option</w:t>
      </w:r>
      <w:r w:rsidR="00FC6E65">
        <w:rPr>
          <w:rFonts w:ascii="Candara" w:hAnsi="Candara"/>
          <w:sz w:val="24"/>
          <w:szCs w:val="24"/>
        </w:rPr>
        <w:t>,</w:t>
      </w:r>
      <w:r w:rsidRPr="00C538A5">
        <w:rPr>
          <w:rFonts w:ascii="Candara" w:hAnsi="Candara"/>
          <w:sz w:val="24"/>
          <w:szCs w:val="24"/>
        </w:rPr>
        <w:t xml:space="preserve"> your academic</w:t>
      </w:r>
      <w:r w:rsidR="00FC6E65">
        <w:rPr>
          <w:rFonts w:ascii="Candara" w:hAnsi="Candara"/>
          <w:sz w:val="24"/>
          <w:szCs w:val="24"/>
        </w:rPr>
        <w:t xml:space="preserve"> year</w:t>
      </w:r>
      <w:r w:rsidRPr="00C538A5">
        <w:rPr>
          <w:rFonts w:ascii="Candara" w:hAnsi="Candara"/>
          <w:sz w:val="24"/>
          <w:szCs w:val="24"/>
        </w:rPr>
        <w:t xml:space="preserve"> salary</w:t>
      </w:r>
      <w:r w:rsidR="00FC6E65">
        <w:rPr>
          <w:rFonts w:ascii="Candara" w:hAnsi="Candara"/>
          <w:sz w:val="24"/>
          <w:szCs w:val="24"/>
        </w:rPr>
        <w:t xml:space="preserve"> is paid</w:t>
      </w:r>
      <w:r w:rsidRPr="00C538A5">
        <w:rPr>
          <w:rFonts w:ascii="Candara" w:hAnsi="Candara"/>
          <w:sz w:val="24"/>
          <w:szCs w:val="24"/>
        </w:rPr>
        <w:t xml:space="preserve"> over 26 </w:t>
      </w:r>
      <w:r w:rsidR="001922F1">
        <w:rPr>
          <w:rFonts w:ascii="Candara" w:hAnsi="Candara"/>
          <w:sz w:val="24"/>
          <w:szCs w:val="24"/>
        </w:rPr>
        <w:t>pay period</w:t>
      </w:r>
      <w:r w:rsidRPr="00C538A5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 xml:space="preserve"> from</w:t>
      </w:r>
      <w:r w:rsidRPr="00C538A5">
        <w:rPr>
          <w:rFonts w:ascii="Candara" w:hAnsi="Candara"/>
          <w:sz w:val="24"/>
          <w:szCs w:val="24"/>
        </w:rPr>
        <w:t xml:space="preserve"> </w:t>
      </w:r>
      <w:r w:rsidR="00FC6E65">
        <w:rPr>
          <w:rFonts w:ascii="Candara" w:hAnsi="Candara"/>
          <w:sz w:val="24"/>
          <w:szCs w:val="24"/>
        </w:rPr>
        <w:t>July 1, 2017 to June 30, 2018, rather than over</w:t>
      </w:r>
      <w:r w:rsidRPr="00C538A5">
        <w:rPr>
          <w:rFonts w:ascii="Candara" w:hAnsi="Candara"/>
          <w:sz w:val="24"/>
          <w:szCs w:val="24"/>
        </w:rPr>
        <w:t xml:space="preserve"> 20 </w:t>
      </w:r>
      <w:r w:rsidR="00FC6E65">
        <w:rPr>
          <w:rFonts w:ascii="Candara" w:hAnsi="Candara"/>
          <w:sz w:val="24"/>
          <w:szCs w:val="24"/>
        </w:rPr>
        <w:t xml:space="preserve">pay </w:t>
      </w:r>
      <w:r w:rsidR="001922F1">
        <w:rPr>
          <w:rFonts w:ascii="Candara" w:hAnsi="Candara"/>
          <w:sz w:val="24"/>
          <w:szCs w:val="24"/>
        </w:rPr>
        <w:t>periods</w:t>
      </w:r>
      <w:r w:rsidRPr="00C538A5">
        <w:rPr>
          <w:rFonts w:ascii="Candara" w:hAnsi="Candara"/>
          <w:sz w:val="24"/>
          <w:szCs w:val="24"/>
        </w:rPr>
        <w:t xml:space="preserve">. The biweekly amount of each paycheck </w:t>
      </w:r>
      <w:r>
        <w:rPr>
          <w:rFonts w:ascii="Candara" w:hAnsi="Candara"/>
          <w:sz w:val="24"/>
          <w:szCs w:val="24"/>
        </w:rPr>
        <w:t>is</w:t>
      </w:r>
      <w:r w:rsidRPr="00C538A5">
        <w:rPr>
          <w:rFonts w:ascii="Candara" w:hAnsi="Candara"/>
          <w:sz w:val="24"/>
          <w:szCs w:val="24"/>
        </w:rPr>
        <w:t xml:space="preserve"> lower, but </w:t>
      </w:r>
      <w:r w:rsidRPr="00C538A5">
        <w:rPr>
          <w:rFonts w:ascii="Candara" w:hAnsi="Candara"/>
          <w:i/>
          <w:sz w:val="24"/>
          <w:szCs w:val="24"/>
        </w:rPr>
        <w:t>total compensation remain</w:t>
      </w:r>
      <w:r>
        <w:rPr>
          <w:rFonts w:ascii="Candara" w:hAnsi="Candara"/>
          <w:i/>
          <w:sz w:val="24"/>
          <w:szCs w:val="24"/>
        </w:rPr>
        <w:t>s</w:t>
      </w:r>
      <w:r w:rsidRPr="00C538A5">
        <w:rPr>
          <w:rFonts w:ascii="Candara" w:hAnsi="Candara"/>
          <w:i/>
          <w:sz w:val="24"/>
          <w:szCs w:val="24"/>
        </w:rPr>
        <w:t xml:space="preserve"> the same</w:t>
      </w:r>
      <w:r w:rsidRPr="00C538A5">
        <w:rPr>
          <w:rFonts w:ascii="Candara" w:hAnsi="Candara"/>
          <w:sz w:val="24"/>
          <w:szCs w:val="24"/>
        </w:rPr>
        <w:t xml:space="preserve">. </w:t>
      </w:r>
      <w:r w:rsidR="00FC6E65">
        <w:rPr>
          <w:rFonts w:ascii="Candara" w:hAnsi="Candara"/>
          <w:sz w:val="24"/>
          <w:szCs w:val="24"/>
        </w:rPr>
        <w:t xml:space="preserve"> F</w:t>
      </w:r>
      <w:r w:rsidRPr="00C538A5">
        <w:rPr>
          <w:rFonts w:ascii="Candara" w:hAnsi="Candara"/>
          <w:sz w:val="24"/>
          <w:szCs w:val="24"/>
        </w:rPr>
        <w:t>or</w:t>
      </w:r>
      <w:r w:rsidR="00FC6E65">
        <w:rPr>
          <w:rFonts w:ascii="Candara" w:hAnsi="Candara"/>
          <w:sz w:val="24"/>
          <w:szCs w:val="24"/>
        </w:rPr>
        <w:t xml:space="preserve"> the</w:t>
      </w:r>
      <w:r w:rsidRPr="00C538A5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2017-18</w:t>
      </w:r>
      <w:r w:rsidR="00FC6E65">
        <w:rPr>
          <w:rFonts w:ascii="Candara" w:hAnsi="Candara"/>
          <w:sz w:val="24"/>
          <w:szCs w:val="24"/>
        </w:rPr>
        <w:t xml:space="preserve"> academic year, the initial A12 pay</w:t>
      </w:r>
      <w:r w:rsidRPr="00C538A5">
        <w:rPr>
          <w:rFonts w:ascii="Candara" w:hAnsi="Candara"/>
          <w:sz w:val="24"/>
          <w:szCs w:val="24"/>
        </w:rPr>
        <w:t xml:space="preserve"> w</w:t>
      </w:r>
      <w:r>
        <w:rPr>
          <w:rFonts w:ascii="Candara" w:hAnsi="Candara"/>
          <w:sz w:val="24"/>
          <w:szCs w:val="24"/>
        </w:rPr>
        <w:t>ill</w:t>
      </w:r>
      <w:r w:rsidRPr="00C538A5">
        <w:rPr>
          <w:rFonts w:ascii="Candara" w:hAnsi="Candara"/>
          <w:sz w:val="24"/>
          <w:szCs w:val="24"/>
        </w:rPr>
        <w:t xml:space="preserve"> be</w:t>
      </w:r>
      <w:r w:rsidR="00FC6E65">
        <w:rPr>
          <w:rFonts w:ascii="Candara" w:hAnsi="Candara"/>
          <w:sz w:val="24"/>
          <w:szCs w:val="24"/>
        </w:rPr>
        <w:t xml:space="preserve"> received on</w:t>
      </w:r>
      <w:r w:rsidRPr="00C538A5">
        <w:rPr>
          <w:rFonts w:ascii="Candara" w:hAnsi="Candara"/>
          <w:sz w:val="24"/>
          <w:szCs w:val="24"/>
        </w:rPr>
        <w:t xml:space="preserve"> July 21, 2017 and </w:t>
      </w:r>
      <w:r w:rsidR="00FC6E65">
        <w:rPr>
          <w:rFonts w:ascii="Candara" w:hAnsi="Candara"/>
          <w:sz w:val="24"/>
          <w:szCs w:val="24"/>
        </w:rPr>
        <w:t>the</w:t>
      </w:r>
      <w:r w:rsidRPr="00C538A5">
        <w:rPr>
          <w:rFonts w:ascii="Candara" w:hAnsi="Candara"/>
          <w:sz w:val="24"/>
          <w:szCs w:val="24"/>
        </w:rPr>
        <w:t xml:space="preserve"> final</w:t>
      </w:r>
      <w:r>
        <w:rPr>
          <w:rFonts w:ascii="Candara" w:hAnsi="Candara"/>
          <w:sz w:val="24"/>
          <w:szCs w:val="24"/>
        </w:rPr>
        <w:t xml:space="preserve"> pay </w:t>
      </w:r>
      <w:r w:rsidR="00FC6E65">
        <w:rPr>
          <w:rFonts w:ascii="Candara" w:hAnsi="Candara"/>
          <w:sz w:val="24"/>
          <w:szCs w:val="24"/>
        </w:rPr>
        <w:t>on</w:t>
      </w:r>
      <w:r w:rsidRPr="00C538A5">
        <w:rPr>
          <w:rFonts w:ascii="Candara" w:hAnsi="Candara"/>
          <w:sz w:val="24"/>
          <w:szCs w:val="24"/>
        </w:rPr>
        <w:t xml:space="preserve"> 7/6/2018.</w:t>
      </w:r>
    </w:p>
    <w:p w:rsidR="00C538A5" w:rsidRPr="00E8284B" w:rsidRDefault="00C538A5" w:rsidP="00F52A06">
      <w:pPr>
        <w:ind w:left="720"/>
        <w:rPr>
          <w:rFonts w:ascii="Candara" w:hAnsi="Candara"/>
          <w:sz w:val="24"/>
          <w:szCs w:val="24"/>
        </w:rPr>
      </w:pPr>
      <w:r w:rsidRPr="00292598">
        <w:rPr>
          <w:rFonts w:ascii="Candara" w:hAnsi="Candara"/>
          <w:sz w:val="24"/>
          <w:szCs w:val="24"/>
        </w:rPr>
        <w:t xml:space="preserve">To elect the A12 </w:t>
      </w:r>
      <w:r>
        <w:rPr>
          <w:rFonts w:ascii="Candara" w:hAnsi="Candara"/>
          <w:sz w:val="24"/>
          <w:szCs w:val="24"/>
        </w:rPr>
        <w:t>p</w:t>
      </w:r>
      <w:r w:rsidRPr="00292598">
        <w:rPr>
          <w:rFonts w:ascii="Candara" w:hAnsi="Candara"/>
          <w:sz w:val="24"/>
          <w:szCs w:val="24"/>
        </w:rPr>
        <w:t xml:space="preserve">ay </w:t>
      </w:r>
      <w:r>
        <w:rPr>
          <w:rFonts w:ascii="Candara" w:hAnsi="Candara"/>
          <w:sz w:val="24"/>
          <w:szCs w:val="24"/>
        </w:rPr>
        <w:t>o</w:t>
      </w:r>
      <w:r w:rsidRPr="00292598">
        <w:rPr>
          <w:rFonts w:ascii="Candara" w:hAnsi="Candara"/>
          <w:sz w:val="24"/>
          <w:szCs w:val="24"/>
        </w:rPr>
        <w:t>ption, please fill out and return the form to your department by April 30</w:t>
      </w:r>
      <w:r w:rsidRPr="00292598">
        <w:rPr>
          <w:rFonts w:ascii="Candara" w:hAnsi="Candara"/>
          <w:sz w:val="24"/>
          <w:szCs w:val="24"/>
          <w:vertAlign w:val="superscript"/>
        </w:rPr>
        <w:t>th</w:t>
      </w:r>
      <w:r w:rsidRPr="00292598">
        <w:rPr>
          <w:rFonts w:ascii="Candara" w:hAnsi="Candara"/>
          <w:sz w:val="24"/>
          <w:szCs w:val="24"/>
        </w:rPr>
        <w:t xml:space="preserve">, 2017.  </w:t>
      </w:r>
      <w:hyperlink r:id="rId9" w:history="1">
        <w:r w:rsidRPr="00292598">
          <w:rPr>
            <w:rStyle w:val="Hyperlink"/>
            <w:rFonts w:ascii="Candara" w:hAnsi="Candara"/>
            <w:sz w:val="24"/>
            <w:szCs w:val="24"/>
          </w:rPr>
          <w:t>http://www.asu.edu/hr/forms/payopt.pdf</w:t>
        </w:r>
      </w:hyperlink>
    </w:p>
    <w:p w:rsidR="00C538A5" w:rsidRPr="008E4C48" w:rsidRDefault="00C538A5" w:rsidP="00F52A06">
      <w:pPr>
        <w:ind w:left="720"/>
        <w:rPr>
          <w:rFonts w:ascii="Candara" w:hAnsi="Candara"/>
        </w:rPr>
      </w:pPr>
      <w:r w:rsidRPr="008E4C48">
        <w:rPr>
          <w:rFonts w:ascii="Candara" w:hAnsi="Candara"/>
        </w:rPr>
        <w:t xml:space="preserve">According to ACD 514, </w:t>
      </w:r>
      <w:r>
        <w:rPr>
          <w:rFonts w:ascii="Candara" w:hAnsi="Candara"/>
        </w:rPr>
        <w:t>f</w:t>
      </w:r>
      <w:r w:rsidRPr="008E4C48">
        <w:rPr>
          <w:rFonts w:ascii="Candara" w:hAnsi="Candara"/>
        </w:rPr>
        <w:t xml:space="preserve">aculty </w:t>
      </w:r>
      <w:r>
        <w:rPr>
          <w:rFonts w:ascii="Candara" w:hAnsi="Candara"/>
        </w:rPr>
        <w:t>and</w:t>
      </w:r>
      <w:r w:rsidRPr="008E4C48">
        <w:rPr>
          <w:rFonts w:ascii="Candara" w:hAnsi="Candara"/>
        </w:rPr>
        <w:t xml:space="preserve"> </w:t>
      </w:r>
      <w:r>
        <w:rPr>
          <w:rFonts w:ascii="Candara" w:hAnsi="Candara"/>
        </w:rPr>
        <w:t>a</w:t>
      </w:r>
      <w:r w:rsidRPr="008E4C48">
        <w:rPr>
          <w:rFonts w:ascii="Candara" w:hAnsi="Candara"/>
        </w:rPr>
        <w:t xml:space="preserve">cademic </w:t>
      </w:r>
      <w:r>
        <w:rPr>
          <w:rFonts w:ascii="Candara" w:hAnsi="Candara"/>
        </w:rPr>
        <w:t>p</w:t>
      </w:r>
      <w:r w:rsidRPr="008E4C48">
        <w:rPr>
          <w:rFonts w:ascii="Candara" w:hAnsi="Candara"/>
        </w:rPr>
        <w:t>rofessionals who would be ineligible for this option include:</w:t>
      </w:r>
    </w:p>
    <w:p w:rsidR="00C538A5" w:rsidRPr="008E4C48" w:rsidRDefault="00C538A5" w:rsidP="00F52A06">
      <w:pPr>
        <w:pStyle w:val="ListParagraph"/>
        <w:numPr>
          <w:ilvl w:val="0"/>
          <w:numId w:val="3"/>
        </w:numPr>
        <w:ind w:left="1440"/>
        <w:rPr>
          <w:rFonts w:ascii="Candara" w:hAnsi="Candara"/>
        </w:rPr>
      </w:pPr>
      <w:r w:rsidRPr="008E4C48">
        <w:rPr>
          <w:rFonts w:ascii="Candara" w:hAnsi="Candara"/>
        </w:rPr>
        <w:t>Faculty receiving pay for fewer than two semesters or less than 50 percent full time equivalent (FTE) and</w:t>
      </w:r>
    </w:p>
    <w:p w:rsidR="00DF18AF" w:rsidRPr="007045D8" w:rsidRDefault="00C538A5" w:rsidP="00CC3FB8">
      <w:pPr>
        <w:pStyle w:val="ListParagraph"/>
        <w:numPr>
          <w:ilvl w:val="0"/>
          <w:numId w:val="3"/>
        </w:numPr>
        <w:ind w:left="1440"/>
        <w:rPr>
          <w:rFonts w:ascii="Candara" w:hAnsi="Candara"/>
          <w:sz w:val="24"/>
          <w:szCs w:val="24"/>
        </w:rPr>
      </w:pPr>
      <w:r w:rsidRPr="007045D8">
        <w:rPr>
          <w:rFonts w:ascii="Candara" w:hAnsi="Candara"/>
        </w:rPr>
        <w:t xml:space="preserve">Faculty whose pay status changes to fewer than two semesters or whose FTE fall below 50 percent.  </w:t>
      </w:r>
      <w:r>
        <w:rPr>
          <w:noProof/>
        </w:rPr>
        <w:drawing>
          <wp:inline distT="0" distB="0" distL="0" distR="0" wp14:anchorId="732684A2" wp14:editId="27BB1F55">
            <wp:extent cx="4958882" cy="59804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2173" cy="6008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5D8" w:rsidRDefault="007045D8" w:rsidP="007045D8">
      <w:pPr>
        <w:rPr>
          <w:rFonts w:ascii="Candara" w:hAnsi="Candara"/>
          <w:b/>
          <w:sz w:val="26"/>
          <w:szCs w:val="26"/>
        </w:rPr>
      </w:pPr>
      <w:bookmarkStart w:id="0" w:name="_GoBack"/>
      <w:bookmarkEnd w:id="0"/>
      <w:r w:rsidRPr="00E10F45">
        <w:rPr>
          <w:rFonts w:ascii="Candara" w:hAnsi="Candara"/>
          <w:b/>
          <w:sz w:val="26"/>
          <w:szCs w:val="26"/>
        </w:rPr>
        <w:lastRenderedPageBreak/>
        <w:t>How will this alignment affect my benefits?</w:t>
      </w:r>
    </w:p>
    <w:p w:rsidR="007045D8" w:rsidRDefault="007045D8" w:rsidP="007045D8">
      <w:pPr>
        <w:rPr>
          <w:rFonts w:ascii="Candara" w:hAnsi="Candara"/>
          <w:sz w:val="24"/>
          <w:szCs w:val="24"/>
        </w:rPr>
      </w:pPr>
      <w:r w:rsidRPr="008D6169">
        <w:rPr>
          <w:rFonts w:ascii="Candara" w:hAnsi="Candara"/>
          <w:sz w:val="24"/>
          <w:szCs w:val="24"/>
        </w:rPr>
        <w:t xml:space="preserve">Your benefits coverage will not be affected.  If you are paid </w:t>
      </w:r>
      <w:r>
        <w:rPr>
          <w:rFonts w:ascii="Candara" w:hAnsi="Candara"/>
          <w:sz w:val="24"/>
          <w:szCs w:val="24"/>
        </w:rPr>
        <w:t>over</w:t>
      </w:r>
      <w:r w:rsidRPr="008D6169">
        <w:rPr>
          <w:rFonts w:ascii="Candara" w:hAnsi="Candara"/>
          <w:sz w:val="24"/>
          <w:szCs w:val="24"/>
        </w:rPr>
        <w:t xml:space="preserve"> 9 month</w:t>
      </w:r>
      <w:r>
        <w:rPr>
          <w:rFonts w:ascii="Candara" w:hAnsi="Candara"/>
          <w:sz w:val="24"/>
          <w:szCs w:val="24"/>
        </w:rPr>
        <w:t>s</w:t>
      </w:r>
      <w:r w:rsidRPr="008D6169">
        <w:rPr>
          <w:rFonts w:ascii="Candara" w:hAnsi="Candara"/>
          <w:sz w:val="24"/>
          <w:szCs w:val="24"/>
        </w:rPr>
        <w:t xml:space="preserve"> (ACD), the pre-collection of benefits for summer </w:t>
      </w:r>
      <w:r>
        <w:rPr>
          <w:rFonts w:ascii="Candara" w:hAnsi="Candara"/>
          <w:sz w:val="24"/>
          <w:szCs w:val="24"/>
        </w:rPr>
        <w:t>2017</w:t>
      </w:r>
      <w:r w:rsidRPr="008D6169">
        <w:rPr>
          <w:rFonts w:ascii="Candara" w:hAnsi="Candara"/>
          <w:sz w:val="24"/>
          <w:szCs w:val="24"/>
        </w:rPr>
        <w:t xml:space="preserve"> will occur over seven pay periods (instead of six) beginning </w:t>
      </w:r>
      <w:r w:rsidRPr="00F52A06">
        <w:rPr>
          <w:rFonts w:ascii="Candara" w:hAnsi="Candara"/>
          <w:sz w:val="24"/>
          <w:szCs w:val="24"/>
        </w:rPr>
        <w:t>January 30, 2017.</w:t>
      </w:r>
      <w:r w:rsidRPr="008D6169">
        <w:rPr>
          <w:rFonts w:ascii="Candara" w:hAnsi="Candara"/>
          <w:sz w:val="24"/>
          <w:szCs w:val="24"/>
        </w:rPr>
        <w:t xml:space="preserve"> </w:t>
      </w:r>
    </w:p>
    <w:p w:rsidR="007045D8" w:rsidRPr="00E10F45" w:rsidRDefault="007045D8" w:rsidP="007045D8">
      <w:pPr>
        <w:rPr>
          <w:rFonts w:ascii="Candara" w:hAnsi="Candara"/>
          <w:b/>
          <w:sz w:val="26"/>
          <w:szCs w:val="26"/>
        </w:rPr>
      </w:pPr>
      <w:r w:rsidRPr="00E10F45">
        <w:rPr>
          <w:rFonts w:ascii="Candara" w:hAnsi="Candara"/>
          <w:b/>
          <w:sz w:val="26"/>
          <w:szCs w:val="26"/>
        </w:rPr>
        <w:t xml:space="preserve">Is this extended summer schedule </w:t>
      </w:r>
      <w:r>
        <w:rPr>
          <w:rFonts w:ascii="Candara" w:hAnsi="Candara"/>
          <w:b/>
          <w:sz w:val="26"/>
          <w:szCs w:val="26"/>
        </w:rPr>
        <w:t>adjustment</w:t>
      </w:r>
      <w:r w:rsidRPr="00E10F45">
        <w:rPr>
          <w:rFonts w:ascii="Candara" w:hAnsi="Candara"/>
          <w:b/>
          <w:sz w:val="26"/>
          <w:szCs w:val="26"/>
        </w:rPr>
        <w:t xml:space="preserve"> permanent?</w:t>
      </w:r>
    </w:p>
    <w:p w:rsidR="007045D8" w:rsidRPr="00DC572E" w:rsidRDefault="007045D8" w:rsidP="007045D8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No, this schedule adjustment is only for summer 2017.  </w:t>
      </w:r>
      <w:r w:rsidRPr="004A08D0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F</w:t>
      </w:r>
      <w:r w:rsidRPr="004B7D41">
        <w:rPr>
          <w:rFonts w:ascii="Candara" w:hAnsi="Candara"/>
          <w:sz w:val="24"/>
          <w:szCs w:val="24"/>
        </w:rPr>
        <w:t>or facu</w:t>
      </w:r>
      <w:r>
        <w:rPr>
          <w:rFonts w:ascii="Candara" w:hAnsi="Candara"/>
          <w:sz w:val="24"/>
          <w:szCs w:val="24"/>
        </w:rPr>
        <w:t xml:space="preserve">lty and academic professionals </w:t>
      </w:r>
      <w:r w:rsidRPr="004B7D41">
        <w:rPr>
          <w:rFonts w:ascii="Candara" w:hAnsi="Candara"/>
          <w:sz w:val="24"/>
          <w:szCs w:val="24"/>
        </w:rPr>
        <w:t>paid over 9 months (ACD)</w:t>
      </w:r>
      <w:r>
        <w:rPr>
          <w:rFonts w:ascii="Candara" w:hAnsi="Candara"/>
          <w:sz w:val="24"/>
          <w:szCs w:val="24"/>
        </w:rPr>
        <w:t xml:space="preserve">, </w:t>
      </w:r>
      <w:r w:rsidRPr="004A08D0">
        <w:rPr>
          <w:rFonts w:ascii="Candara" w:hAnsi="Candara"/>
          <w:sz w:val="24"/>
          <w:szCs w:val="24"/>
        </w:rPr>
        <w:t>the number of pay periods between academic years</w:t>
      </w:r>
      <w:r>
        <w:rPr>
          <w:rFonts w:ascii="Candara" w:hAnsi="Candara"/>
          <w:sz w:val="24"/>
          <w:szCs w:val="24"/>
        </w:rPr>
        <w:t xml:space="preserve"> will revert to six beginning in summer 2018.</w:t>
      </w:r>
    </w:p>
    <w:p w:rsidR="00B46183" w:rsidRDefault="00B46183" w:rsidP="00DF18AF">
      <w:pPr>
        <w:rPr>
          <w:rFonts w:ascii="Candara" w:hAnsi="Candara"/>
          <w:sz w:val="24"/>
          <w:szCs w:val="24"/>
        </w:rPr>
      </w:pPr>
    </w:p>
    <w:p w:rsidR="008E4C48" w:rsidRDefault="008E4C48" w:rsidP="00B46183">
      <w:pPr>
        <w:rPr>
          <w:rFonts w:ascii="Candara" w:hAnsi="Candara"/>
          <w:b/>
          <w:sz w:val="26"/>
          <w:szCs w:val="26"/>
        </w:rPr>
      </w:pPr>
    </w:p>
    <w:p w:rsidR="007B4C45" w:rsidRDefault="007B4C45">
      <w:pPr>
        <w:rPr>
          <w:rFonts w:ascii="Candara" w:hAnsi="Candara"/>
        </w:rPr>
      </w:pPr>
    </w:p>
    <w:sectPr w:rsidR="007B4C45" w:rsidSect="003F4CCD">
      <w:pgSz w:w="12240" w:h="15840"/>
      <w:pgMar w:top="1008" w:right="1296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70" w:rsidRDefault="00694770" w:rsidP="00BB1157">
      <w:pPr>
        <w:spacing w:after="0" w:line="240" w:lineRule="auto"/>
      </w:pPr>
      <w:r>
        <w:separator/>
      </w:r>
    </w:p>
  </w:endnote>
  <w:endnote w:type="continuationSeparator" w:id="0">
    <w:p w:rsidR="00694770" w:rsidRDefault="00694770" w:rsidP="00BB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70" w:rsidRDefault="00694770" w:rsidP="00BB1157">
      <w:pPr>
        <w:spacing w:after="0" w:line="240" w:lineRule="auto"/>
      </w:pPr>
      <w:r>
        <w:separator/>
      </w:r>
    </w:p>
  </w:footnote>
  <w:footnote w:type="continuationSeparator" w:id="0">
    <w:p w:rsidR="00694770" w:rsidRDefault="00694770" w:rsidP="00BB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1146E"/>
    <w:multiLevelType w:val="hybridMultilevel"/>
    <w:tmpl w:val="BD92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15806"/>
    <w:multiLevelType w:val="hybridMultilevel"/>
    <w:tmpl w:val="406A7E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618EF"/>
    <w:multiLevelType w:val="hybridMultilevel"/>
    <w:tmpl w:val="0A640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27637"/>
    <w:multiLevelType w:val="hybridMultilevel"/>
    <w:tmpl w:val="D03076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63107C"/>
    <w:multiLevelType w:val="hybridMultilevel"/>
    <w:tmpl w:val="5AF2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EC"/>
    <w:rsid w:val="00016521"/>
    <w:rsid w:val="00043BDC"/>
    <w:rsid w:val="00044390"/>
    <w:rsid w:val="00046A53"/>
    <w:rsid w:val="00063854"/>
    <w:rsid w:val="000678F2"/>
    <w:rsid w:val="00071774"/>
    <w:rsid w:val="000B3304"/>
    <w:rsid w:val="00106DB3"/>
    <w:rsid w:val="00115CC0"/>
    <w:rsid w:val="001545EF"/>
    <w:rsid w:val="001854ED"/>
    <w:rsid w:val="001922F1"/>
    <w:rsid w:val="00192578"/>
    <w:rsid w:val="001934B4"/>
    <w:rsid w:val="001A39B9"/>
    <w:rsid w:val="001B016C"/>
    <w:rsid w:val="001D4038"/>
    <w:rsid w:val="001F5008"/>
    <w:rsid w:val="001F7ED2"/>
    <w:rsid w:val="002111C8"/>
    <w:rsid w:val="00217D66"/>
    <w:rsid w:val="002463A0"/>
    <w:rsid w:val="002524EC"/>
    <w:rsid w:val="00266B1F"/>
    <w:rsid w:val="002A079F"/>
    <w:rsid w:val="002E2844"/>
    <w:rsid w:val="002E7D0A"/>
    <w:rsid w:val="0030385E"/>
    <w:rsid w:val="00325546"/>
    <w:rsid w:val="00371B6C"/>
    <w:rsid w:val="003C26FB"/>
    <w:rsid w:val="003D2908"/>
    <w:rsid w:val="003F1B92"/>
    <w:rsid w:val="003F4CCD"/>
    <w:rsid w:val="004317F2"/>
    <w:rsid w:val="00435348"/>
    <w:rsid w:val="00457F9D"/>
    <w:rsid w:val="00485E7C"/>
    <w:rsid w:val="00487411"/>
    <w:rsid w:val="004876F7"/>
    <w:rsid w:val="004A08D0"/>
    <w:rsid w:val="004B0C2D"/>
    <w:rsid w:val="004B7D41"/>
    <w:rsid w:val="004C2F28"/>
    <w:rsid w:val="004D1CF9"/>
    <w:rsid w:val="00517766"/>
    <w:rsid w:val="00542E6D"/>
    <w:rsid w:val="00555E0F"/>
    <w:rsid w:val="0059088D"/>
    <w:rsid w:val="0059471B"/>
    <w:rsid w:val="005F2512"/>
    <w:rsid w:val="005F569A"/>
    <w:rsid w:val="005F7BB2"/>
    <w:rsid w:val="00610490"/>
    <w:rsid w:val="0061387B"/>
    <w:rsid w:val="00632E80"/>
    <w:rsid w:val="006368EF"/>
    <w:rsid w:val="00683C8D"/>
    <w:rsid w:val="00694770"/>
    <w:rsid w:val="006F1EF9"/>
    <w:rsid w:val="007045D8"/>
    <w:rsid w:val="00714CD2"/>
    <w:rsid w:val="007251BE"/>
    <w:rsid w:val="007325F0"/>
    <w:rsid w:val="00750B99"/>
    <w:rsid w:val="00757EB3"/>
    <w:rsid w:val="00771DDE"/>
    <w:rsid w:val="007755ED"/>
    <w:rsid w:val="007A64F8"/>
    <w:rsid w:val="007B4C45"/>
    <w:rsid w:val="007C0E4D"/>
    <w:rsid w:val="007D4D84"/>
    <w:rsid w:val="007F1140"/>
    <w:rsid w:val="00800945"/>
    <w:rsid w:val="00814208"/>
    <w:rsid w:val="0082207F"/>
    <w:rsid w:val="00844C31"/>
    <w:rsid w:val="00887AE1"/>
    <w:rsid w:val="008D6169"/>
    <w:rsid w:val="008E4C48"/>
    <w:rsid w:val="009272AE"/>
    <w:rsid w:val="00982D3B"/>
    <w:rsid w:val="009B43AD"/>
    <w:rsid w:val="009B6F62"/>
    <w:rsid w:val="009D38BC"/>
    <w:rsid w:val="009E3A45"/>
    <w:rsid w:val="009F610A"/>
    <w:rsid w:val="00A27A3C"/>
    <w:rsid w:val="00A65C95"/>
    <w:rsid w:val="00A867F0"/>
    <w:rsid w:val="00A92046"/>
    <w:rsid w:val="00AB1BFF"/>
    <w:rsid w:val="00AD3823"/>
    <w:rsid w:val="00AF62BC"/>
    <w:rsid w:val="00B46183"/>
    <w:rsid w:val="00B55660"/>
    <w:rsid w:val="00B73EC0"/>
    <w:rsid w:val="00BA1355"/>
    <w:rsid w:val="00BA4800"/>
    <w:rsid w:val="00BA51B5"/>
    <w:rsid w:val="00BB1157"/>
    <w:rsid w:val="00BB180C"/>
    <w:rsid w:val="00BB5F09"/>
    <w:rsid w:val="00C16EE8"/>
    <w:rsid w:val="00C24038"/>
    <w:rsid w:val="00C4563C"/>
    <w:rsid w:val="00C538A5"/>
    <w:rsid w:val="00C72A17"/>
    <w:rsid w:val="00C740E7"/>
    <w:rsid w:val="00CC2A0D"/>
    <w:rsid w:val="00CD4A52"/>
    <w:rsid w:val="00CD6104"/>
    <w:rsid w:val="00D142C0"/>
    <w:rsid w:val="00D1574A"/>
    <w:rsid w:val="00D2326B"/>
    <w:rsid w:val="00D4550A"/>
    <w:rsid w:val="00D56E51"/>
    <w:rsid w:val="00D65B24"/>
    <w:rsid w:val="00D84D23"/>
    <w:rsid w:val="00DB35D5"/>
    <w:rsid w:val="00DC572E"/>
    <w:rsid w:val="00DE35EE"/>
    <w:rsid w:val="00DF03D1"/>
    <w:rsid w:val="00DF18AF"/>
    <w:rsid w:val="00DF3B20"/>
    <w:rsid w:val="00E10F45"/>
    <w:rsid w:val="00E46D90"/>
    <w:rsid w:val="00E824DE"/>
    <w:rsid w:val="00E8284B"/>
    <w:rsid w:val="00F52A06"/>
    <w:rsid w:val="00F664F9"/>
    <w:rsid w:val="00F84EBF"/>
    <w:rsid w:val="00F93168"/>
    <w:rsid w:val="00F9394B"/>
    <w:rsid w:val="00F963B9"/>
    <w:rsid w:val="00FA76F1"/>
    <w:rsid w:val="00FB6BD2"/>
    <w:rsid w:val="00FC6E65"/>
    <w:rsid w:val="00F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811C3-1D41-42C6-A69A-132147E8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7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157"/>
  </w:style>
  <w:style w:type="paragraph" w:styleId="Footer">
    <w:name w:val="footer"/>
    <w:basedOn w:val="Normal"/>
    <w:link w:val="FooterChar"/>
    <w:uiPriority w:val="99"/>
    <w:unhideWhenUsed/>
    <w:rsid w:val="00BB1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157"/>
  </w:style>
  <w:style w:type="character" w:styleId="CommentReference">
    <w:name w:val="annotation reference"/>
    <w:basedOn w:val="DefaultParagraphFont"/>
    <w:uiPriority w:val="99"/>
    <w:semiHidden/>
    <w:unhideWhenUsed/>
    <w:rsid w:val="00AD3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8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8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23"/>
    <w:rPr>
      <w:b/>
      <w:bCs/>
      <w:sz w:val="20"/>
      <w:szCs w:val="20"/>
    </w:rPr>
  </w:style>
  <w:style w:type="paragraph" w:styleId="NoSpacing">
    <w:name w:val="No Spacing"/>
    <w:uiPriority w:val="1"/>
    <w:qFormat/>
    <w:rsid w:val="00757E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5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asu.edu/hr/forms/payop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Chelsea Tyrrell</dc:creator>
  <cp:lastModifiedBy>Chelsea Tyrrell</cp:lastModifiedBy>
  <cp:revision>4</cp:revision>
  <cp:lastPrinted>2016-06-06T19:46:00Z</cp:lastPrinted>
  <dcterms:created xsi:type="dcterms:W3CDTF">2016-06-23T16:15:00Z</dcterms:created>
  <dcterms:modified xsi:type="dcterms:W3CDTF">2016-06-23T16:28:00Z</dcterms:modified>
</cp:coreProperties>
</file>